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6516"/>
        <w:gridCol w:w="7432"/>
      </w:tblGrid>
      <w:tr w:rsidR="00BC24CA" w14:paraId="3FB822AA" w14:textId="77777777" w:rsidTr="00287F5A">
        <w:tc>
          <w:tcPr>
            <w:tcW w:w="6516" w:type="dxa"/>
          </w:tcPr>
          <w:p w14:paraId="430F1D9A" w14:textId="6C41C294" w:rsidR="005F5A5B" w:rsidRPr="00EE4477" w:rsidRDefault="00BC24CA" w:rsidP="00BC24CA">
            <w:pPr>
              <w:pStyle w:val="Default"/>
              <w:jc w:val="center"/>
              <w:rPr>
                <w:rFonts w:ascii="Arial" w:hAnsi="Arial" w:cs="Arial"/>
                <w:b/>
                <w:bCs/>
                <w:sz w:val="28"/>
                <w:szCs w:val="28"/>
              </w:rPr>
            </w:pPr>
            <w:r w:rsidRPr="00EE4477">
              <w:rPr>
                <w:rFonts w:ascii="Arial" w:hAnsi="Arial" w:cs="Arial"/>
                <w:b/>
                <w:bCs/>
                <w:sz w:val="28"/>
                <w:szCs w:val="28"/>
              </w:rPr>
              <w:t>Clarification Request:</w:t>
            </w:r>
          </w:p>
        </w:tc>
        <w:tc>
          <w:tcPr>
            <w:tcW w:w="7432" w:type="dxa"/>
          </w:tcPr>
          <w:p w14:paraId="35EF7DC1" w14:textId="28ADB54C" w:rsidR="005F5A5B" w:rsidRPr="00287F5A" w:rsidRDefault="00BC24CA" w:rsidP="00BC24CA">
            <w:pPr>
              <w:pStyle w:val="Default"/>
              <w:jc w:val="center"/>
              <w:rPr>
                <w:rFonts w:ascii="Tahoma" w:hAnsi="Tahoma" w:cs="Tahoma"/>
                <w:b/>
                <w:bCs/>
              </w:rPr>
            </w:pPr>
            <w:r w:rsidRPr="00287F5A">
              <w:rPr>
                <w:rFonts w:ascii="Tahoma" w:hAnsi="Tahoma" w:cs="Tahoma"/>
                <w:b/>
                <w:bCs/>
              </w:rPr>
              <w:t>TFR Clarifications:</w:t>
            </w:r>
          </w:p>
        </w:tc>
      </w:tr>
      <w:tr w:rsidR="00BC24CA" w14:paraId="7FAD651C" w14:textId="77777777" w:rsidTr="00287F5A">
        <w:tc>
          <w:tcPr>
            <w:tcW w:w="6516" w:type="dxa"/>
          </w:tcPr>
          <w:p w14:paraId="13DB16DC" w14:textId="77097149" w:rsidR="00D04568" w:rsidRPr="00A33FEE" w:rsidRDefault="00061AB7" w:rsidP="00644413">
            <w:pPr>
              <w:pStyle w:val="Default"/>
              <w:numPr>
                <w:ilvl w:val="0"/>
                <w:numId w:val="1"/>
              </w:numPr>
              <w:rPr>
                <w:rFonts w:ascii="Arial" w:hAnsi="Arial" w:cs="Arial"/>
              </w:rPr>
            </w:pPr>
            <w:r w:rsidRPr="00A33FEE">
              <w:rPr>
                <w:rFonts w:ascii="Arial" w:hAnsi="Arial" w:cs="Arial"/>
              </w:rPr>
              <w:t>Technical Questions &amp; Information Sharing</w:t>
            </w:r>
          </w:p>
          <w:p w14:paraId="0056489F" w14:textId="404BF63B" w:rsidR="00D04568" w:rsidRDefault="00D04568" w:rsidP="00A33FEE">
            <w:pPr>
              <w:pStyle w:val="Default"/>
              <w:ind w:left="360"/>
              <w:rPr>
                <w:rFonts w:ascii="Aptos" w:hAnsi="Aptos"/>
                <w:sz w:val="20"/>
                <w:szCs w:val="20"/>
              </w:rPr>
            </w:pPr>
            <w:r w:rsidRPr="00CB5828">
              <w:rPr>
                <w:rFonts w:ascii="Aptos" w:hAnsi="Aptos"/>
                <w:sz w:val="20"/>
                <w:szCs w:val="20"/>
              </w:rPr>
              <w:t>I. We understand that during the open tender process, information was shared with the Step-in OEM, including details on the condition of the locomotives and modifications performed by Transnet.</w:t>
            </w:r>
          </w:p>
          <w:p w14:paraId="15ED508F" w14:textId="750A8489" w:rsidR="00D04568" w:rsidRDefault="00D04568" w:rsidP="00D04568">
            <w:pPr>
              <w:pStyle w:val="Default"/>
              <w:numPr>
                <w:ilvl w:val="0"/>
                <w:numId w:val="2"/>
              </w:numPr>
              <w:rPr>
                <w:rFonts w:ascii="Arial" w:hAnsi="Arial" w:cs="Arial"/>
              </w:rPr>
            </w:pPr>
            <w:r w:rsidRPr="00CB5828">
              <w:rPr>
                <w:rFonts w:ascii="Aptos" w:hAnsi="Aptos"/>
                <w:sz w:val="20"/>
                <w:szCs w:val="20"/>
              </w:rPr>
              <w:t>Will this information be made available to all bidders to ensure a fair and transparent bidding process?</w:t>
            </w:r>
          </w:p>
          <w:p w14:paraId="05866D30" w14:textId="77777777" w:rsidR="00D04568" w:rsidRDefault="00D04568" w:rsidP="00D04568">
            <w:pPr>
              <w:pStyle w:val="Default"/>
              <w:rPr>
                <w:rFonts w:ascii="Arial" w:hAnsi="Arial" w:cs="Arial"/>
              </w:rPr>
            </w:pPr>
          </w:p>
          <w:p w14:paraId="68214CEF" w14:textId="4EC28126" w:rsidR="00CA0105" w:rsidRDefault="00CA0105" w:rsidP="00BC24CA">
            <w:pPr>
              <w:pStyle w:val="Default"/>
              <w:rPr>
                <w:rFonts w:ascii="Arial" w:hAnsi="Arial" w:cs="Arial"/>
              </w:rPr>
            </w:pPr>
          </w:p>
          <w:p w14:paraId="1616AD86" w14:textId="0C84ED92" w:rsidR="005F5A5B" w:rsidRDefault="005F5A5B" w:rsidP="0014552D">
            <w:pPr>
              <w:pStyle w:val="Default"/>
              <w:rPr>
                <w:rFonts w:ascii="Arial" w:hAnsi="Arial" w:cs="Arial"/>
              </w:rPr>
            </w:pPr>
          </w:p>
        </w:tc>
        <w:tc>
          <w:tcPr>
            <w:tcW w:w="7432" w:type="dxa"/>
          </w:tcPr>
          <w:p w14:paraId="0254272F" w14:textId="77777777" w:rsidR="00FD0369" w:rsidRPr="00287F5A" w:rsidRDefault="00FD0369" w:rsidP="00FD0369">
            <w:pPr>
              <w:pStyle w:val="Default"/>
              <w:rPr>
                <w:rFonts w:ascii="Tahoma" w:hAnsi="Tahoma" w:cs="Tahoma"/>
                <w:b/>
                <w:bCs/>
                <w:sz w:val="22"/>
                <w:szCs w:val="22"/>
              </w:rPr>
            </w:pPr>
            <w:r w:rsidRPr="00287F5A">
              <w:rPr>
                <w:rFonts w:ascii="Tahoma" w:hAnsi="Tahoma" w:cs="Tahoma"/>
                <w:sz w:val="22"/>
                <w:szCs w:val="22"/>
              </w:rPr>
              <w:t>The previous tender as referred to was “</w:t>
            </w:r>
            <w:r w:rsidRPr="00287F5A">
              <w:rPr>
                <w:rFonts w:ascii="Tahoma" w:hAnsi="Tahoma" w:cs="Tahoma"/>
                <w:b/>
                <w:bCs/>
                <w:sz w:val="22"/>
                <w:szCs w:val="22"/>
              </w:rPr>
              <w:t xml:space="preserve">To find alternative original equipment manufacturer(s) (OEM) to support the return to service of the estimated 160 long-standing locomotives and the supply of components for the 20E, 21E and 22E fleets” </w:t>
            </w:r>
            <w:r w:rsidRPr="00287F5A">
              <w:rPr>
                <w:rFonts w:ascii="Tahoma" w:hAnsi="Tahoma" w:cs="Tahoma"/>
                <w:sz w:val="22"/>
                <w:szCs w:val="22"/>
              </w:rPr>
              <w:t>and all participants were afforded onsite inspections,</w:t>
            </w:r>
            <w:r w:rsidRPr="00287F5A">
              <w:rPr>
                <w:rFonts w:ascii="Tahoma" w:hAnsi="Tahoma" w:cs="Tahoma"/>
                <w:b/>
                <w:bCs/>
                <w:sz w:val="22"/>
                <w:szCs w:val="22"/>
              </w:rPr>
              <w:t xml:space="preserve"> </w:t>
            </w:r>
            <w:r w:rsidRPr="00287F5A">
              <w:rPr>
                <w:rFonts w:ascii="Tahoma" w:hAnsi="Tahoma" w:cs="Tahoma"/>
                <w:sz w:val="22"/>
                <w:szCs w:val="22"/>
              </w:rPr>
              <w:t xml:space="preserve"> whereas the current RFI is </w:t>
            </w:r>
            <w:r w:rsidRPr="00287F5A">
              <w:rPr>
                <w:rFonts w:ascii="Tahoma" w:hAnsi="Tahoma" w:cs="Tahoma"/>
                <w:b/>
                <w:bCs/>
                <w:sz w:val="22"/>
                <w:szCs w:val="22"/>
              </w:rPr>
              <w:t xml:space="preserve">“to enable Transnet to identify a service provider to assist in the recovery, upgrade, and long-term support of the class 20E, 21E, and 22E locomotive fleets”. </w:t>
            </w:r>
          </w:p>
          <w:p w14:paraId="716FDED5" w14:textId="77777777" w:rsidR="00FD0369" w:rsidRPr="00287F5A" w:rsidRDefault="00FD0369" w:rsidP="00FD0369">
            <w:pPr>
              <w:pStyle w:val="Default"/>
              <w:rPr>
                <w:rFonts w:ascii="Tahoma" w:hAnsi="Tahoma" w:cs="Tahoma"/>
                <w:sz w:val="22"/>
                <w:szCs w:val="22"/>
              </w:rPr>
            </w:pPr>
            <w:r w:rsidRPr="00287F5A">
              <w:rPr>
                <w:rFonts w:ascii="Tahoma" w:hAnsi="Tahoma" w:cs="Tahoma"/>
                <w:sz w:val="22"/>
                <w:szCs w:val="22"/>
              </w:rPr>
              <w:t>The current amended RFI is separate from previous tenders.</w:t>
            </w:r>
          </w:p>
          <w:p w14:paraId="6BC48A63" w14:textId="1F795608" w:rsidR="00FD0369" w:rsidRPr="00287F5A" w:rsidRDefault="00FD0369" w:rsidP="00FD0369">
            <w:pPr>
              <w:pStyle w:val="Default"/>
              <w:rPr>
                <w:rFonts w:ascii="Tahoma" w:hAnsi="Tahoma" w:cs="Tahoma"/>
                <w:sz w:val="22"/>
                <w:szCs w:val="22"/>
              </w:rPr>
            </w:pPr>
            <w:r w:rsidRPr="00287F5A">
              <w:rPr>
                <w:rFonts w:ascii="Tahoma" w:hAnsi="Tahoma" w:cs="Tahoma"/>
                <w:sz w:val="22"/>
                <w:szCs w:val="22"/>
              </w:rPr>
              <w:t xml:space="preserve">This RFI shall be proceeded by RFP whereby onsite inspections shall be afforded to all and necessary information provided to all participants when required and at the appropriate stage of the RFP. At this stage no inspection or documentation is necessary. </w:t>
            </w:r>
          </w:p>
          <w:p w14:paraId="7F0BB861" w14:textId="67E61F85" w:rsidR="005F5A5B" w:rsidRPr="00287F5A" w:rsidRDefault="005F5A5B" w:rsidP="00EE4477">
            <w:pPr>
              <w:pStyle w:val="Default"/>
              <w:rPr>
                <w:rFonts w:ascii="Tahoma" w:hAnsi="Tahoma" w:cs="Tahoma"/>
                <w:sz w:val="22"/>
                <w:szCs w:val="22"/>
              </w:rPr>
            </w:pPr>
          </w:p>
        </w:tc>
      </w:tr>
      <w:tr w:rsidR="00BC24CA" w14:paraId="0671A49E" w14:textId="77777777" w:rsidTr="00287F5A">
        <w:tc>
          <w:tcPr>
            <w:tcW w:w="6516" w:type="dxa"/>
          </w:tcPr>
          <w:p w14:paraId="62C5F536" w14:textId="12F40C8A" w:rsidR="00061AB7" w:rsidRDefault="00061AB7" w:rsidP="00061AB7">
            <w:pPr>
              <w:pStyle w:val="Default"/>
              <w:numPr>
                <w:ilvl w:val="0"/>
                <w:numId w:val="1"/>
              </w:numPr>
              <w:rPr>
                <w:rFonts w:ascii="Arial" w:hAnsi="Arial" w:cs="Arial"/>
              </w:rPr>
            </w:pPr>
            <w:r>
              <w:rPr>
                <w:rFonts w:ascii="Arial" w:hAnsi="Arial" w:cs="Arial"/>
              </w:rPr>
              <w:t>Scope of the RFI &amp; Conflict of Requirements</w:t>
            </w:r>
            <w:r w:rsidR="00D04568">
              <w:rPr>
                <w:rFonts w:ascii="Arial" w:hAnsi="Arial" w:cs="Arial"/>
              </w:rPr>
              <w:t xml:space="preserve"> </w:t>
            </w:r>
          </w:p>
          <w:p w14:paraId="70509E7F" w14:textId="77777777" w:rsidR="00D04568" w:rsidRDefault="00D04568" w:rsidP="00D04568">
            <w:pPr>
              <w:pStyle w:val="Default"/>
              <w:ind w:left="360"/>
              <w:rPr>
                <w:rFonts w:ascii="Aptos" w:hAnsi="Aptos"/>
                <w:sz w:val="20"/>
                <w:szCs w:val="20"/>
              </w:rPr>
            </w:pPr>
            <w:r>
              <w:rPr>
                <w:rFonts w:ascii="Aptos" w:hAnsi="Aptos"/>
                <w:sz w:val="20"/>
                <w:szCs w:val="20"/>
              </w:rPr>
              <w:t xml:space="preserve">2 </w:t>
            </w:r>
            <w:r w:rsidRPr="00CB5828">
              <w:rPr>
                <w:rFonts w:ascii="Aptos" w:hAnsi="Aptos"/>
                <w:sz w:val="20"/>
                <w:szCs w:val="20"/>
              </w:rPr>
              <w:t xml:space="preserve">The RFI calls for a supplier to take over the maintenance of the fleet. </w:t>
            </w:r>
          </w:p>
          <w:p w14:paraId="1FBD70AF" w14:textId="77777777" w:rsidR="00D04568" w:rsidRDefault="00D04568" w:rsidP="00D04568">
            <w:pPr>
              <w:pStyle w:val="Default"/>
              <w:ind w:left="360"/>
              <w:rPr>
                <w:rFonts w:ascii="Aptos" w:hAnsi="Aptos"/>
                <w:sz w:val="20"/>
                <w:szCs w:val="20"/>
              </w:rPr>
            </w:pPr>
            <w:r w:rsidRPr="00CB5828">
              <w:rPr>
                <w:rFonts w:ascii="Aptos" w:hAnsi="Aptos"/>
                <w:sz w:val="20"/>
                <w:szCs w:val="20"/>
              </w:rPr>
              <w:t xml:space="preserve">3. However, the clarification from the briefing session suggested that component suppliers may respond to a specific portion of the RFI. </w:t>
            </w:r>
          </w:p>
          <w:p w14:paraId="420152CC" w14:textId="25AE0513" w:rsidR="00CA0105" w:rsidRDefault="00D04568" w:rsidP="00D04568">
            <w:pPr>
              <w:pStyle w:val="Default"/>
              <w:numPr>
                <w:ilvl w:val="0"/>
                <w:numId w:val="2"/>
              </w:numPr>
              <w:rPr>
                <w:rFonts w:ascii="Arial" w:hAnsi="Arial" w:cs="Arial"/>
              </w:rPr>
            </w:pPr>
            <w:r w:rsidRPr="00CB5828">
              <w:rPr>
                <w:rFonts w:ascii="Aptos" w:hAnsi="Aptos"/>
                <w:sz w:val="20"/>
                <w:szCs w:val="20"/>
              </w:rPr>
              <w:t>Would this not create a conflict with the original RFI, which calls for the maintenance of the entire fleet?</w:t>
            </w:r>
          </w:p>
          <w:p w14:paraId="3A0CD763" w14:textId="4E49FBFD" w:rsidR="005F5A5B" w:rsidRDefault="005F5A5B" w:rsidP="0014552D">
            <w:pPr>
              <w:pStyle w:val="Default"/>
              <w:rPr>
                <w:rFonts w:ascii="Arial" w:hAnsi="Arial" w:cs="Arial"/>
              </w:rPr>
            </w:pPr>
          </w:p>
        </w:tc>
        <w:tc>
          <w:tcPr>
            <w:tcW w:w="7432" w:type="dxa"/>
          </w:tcPr>
          <w:p w14:paraId="19AFC051" w14:textId="588DF6C5" w:rsidR="005F5A5B" w:rsidRPr="00287F5A" w:rsidRDefault="00310701" w:rsidP="0014552D">
            <w:pPr>
              <w:pStyle w:val="Default"/>
              <w:rPr>
                <w:rFonts w:ascii="Tahoma" w:hAnsi="Tahoma" w:cs="Tahoma"/>
                <w:sz w:val="22"/>
                <w:szCs w:val="22"/>
              </w:rPr>
            </w:pPr>
            <w:r w:rsidRPr="00287F5A">
              <w:rPr>
                <w:rFonts w:ascii="Tahoma" w:hAnsi="Tahoma" w:cs="Tahoma"/>
                <w:sz w:val="22"/>
                <w:szCs w:val="22"/>
              </w:rPr>
              <w:t xml:space="preserve">No conflict between original and current RFI, the clauses as in 2.3 remained as the </w:t>
            </w:r>
            <w:r w:rsidR="00EE4477" w:rsidRPr="00287F5A">
              <w:rPr>
                <w:rFonts w:ascii="Tahoma" w:hAnsi="Tahoma" w:cs="Tahoma"/>
                <w:sz w:val="22"/>
                <w:szCs w:val="22"/>
              </w:rPr>
              <w:t xml:space="preserve">applicable </w:t>
            </w:r>
            <w:r w:rsidRPr="00287F5A">
              <w:rPr>
                <w:rFonts w:ascii="Tahoma" w:hAnsi="Tahoma" w:cs="Tahoma"/>
                <w:sz w:val="22"/>
                <w:szCs w:val="22"/>
              </w:rPr>
              <w:t>requirements</w:t>
            </w:r>
            <w:r w:rsidR="00626EC6" w:rsidRPr="00287F5A">
              <w:rPr>
                <w:rFonts w:ascii="Tahoma" w:hAnsi="Tahoma" w:cs="Tahoma"/>
                <w:sz w:val="22"/>
                <w:szCs w:val="22"/>
              </w:rPr>
              <w:t>.</w:t>
            </w:r>
          </w:p>
        </w:tc>
      </w:tr>
      <w:tr w:rsidR="00BC24CA" w14:paraId="443BFB38" w14:textId="77777777" w:rsidTr="00287F5A">
        <w:tc>
          <w:tcPr>
            <w:tcW w:w="6516" w:type="dxa"/>
          </w:tcPr>
          <w:p w14:paraId="660EB57B" w14:textId="77777777" w:rsidR="00D04568" w:rsidRDefault="00061AB7" w:rsidP="00061AB7">
            <w:pPr>
              <w:pStyle w:val="Default"/>
              <w:numPr>
                <w:ilvl w:val="0"/>
                <w:numId w:val="1"/>
              </w:numPr>
              <w:rPr>
                <w:rFonts w:ascii="Arial" w:hAnsi="Arial" w:cs="Arial"/>
              </w:rPr>
            </w:pPr>
            <w:r>
              <w:rPr>
                <w:rFonts w:ascii="Arial" w:hAnsi="Arial" w:cs="Arial"/>
              </w:rPr>
              <w:t>Locomotive Inspection &amp; Fair Bidding Process</w:t>
            </w:r>
          </w:p>
          <w:p w14:paraId="5FC0CF21" w14:textId="3BE1F206" w:rsidR="00061AB7" w:rsidRDefault="00D04568" w:rsidP="00D04568">
            <w:pPr>
              <w:pStyle w:val="Default"/>
              <w:ind w:left="360"/>
              <w:rPr>
                <w:rFonts w:ascii="Aptos" w:hAnsi="Aptos"/>
                <w:sz w:val="20"/>
                <w:szCs w:val="20"/>
              </w:rPr>
            </w:pPr>
            <w:r w:rsidRPr="00CB5828">
              <w:rPr>
                <w:rFonts w:ascii="Aptos" w:hAnsi="Aptos"/>
                <w:sz w:val="20"/>
                <w:szCs w:val="20"/>
              </w:rPr>
              <w:t>4. Will bidders be allowed to inspect the locomotives before submission?</w:t>
            </w:r>
          </w:p>
          <w:p w14:paraId="7B90D5FE" w14:textId="7FD75F31" w:rsidR="00D04568" w:rsidRDefault="00D04568" w:rsidP="004479E8">
            <w:pPr>
              <w:pStyle w:val="Default"/>
              <w:numPr>
                <w:ilvl w:val="0"/>
                <w:numId w:val="3"/>
              </w:numPr>
              <w:rPr>
                <w:rFonts w:ascii="Aptos" w:hAnsi="Aptos"/>
                <w:sz w:val="20"/>
                <w:szCs w:val="20"/>
              </w:rPr>
            </w:pPr>
            <w:r w:rsidRPr="00CB5828">
              <w:rPr>
                <w:rFonts w:ascii="Aptos" w:hAnsi="Aptos"/>
                <w:sz w:val="20"/>
                <w:szCs w:val="20"/>
              </w:rPr>
              <w:t>Considering that the RFI requests the return of standing locomotives to service, responding accurately without an inspection would be difficult.</w:t>
            </w:r>
          </w:p>
          <w:p w14:paraId="77CB57CA" w14:textId="36D4DD19" w:rsidR="00D04568" w:rsidRDefault="00D04568" w:rsidP="004479E8">
            <w:pPr>
              <w:pStyle w:val="Default"/>
              <w:numPr>
                <w:ilvl w:val="0"/>
                <w:numId w:val="3"/>
              </w:numPr>
              <w:rPr>
                <w:rFonts w:ascii="Arial" w:hAnsi="Arial" w:cs="Arial"/>
              </w:rPr>
            </w:pPr>
            <w:r w:rsidRPr="00CB5828">
              <w:rPr>
                <w:rFonts w:ascii="Aptos" w:hAnsi="Aptos"/>
                <w:sz w:val="20"/>
                <w:szCs w:val="20"/>
              </w:rPr>
              <w:t>Additionally, in the previous tender, bidders were allowed to inspect the locomotives. Would denying this now not create a disadvantage for those who did not have prior access?</w:t>
            </w:r>
          </w:p>
          <w:p w14:paraId="778AFCC0" w14:textId="243CB3FD" w:rsidR="00CA0105" w:rsidRDefault="00CA0105" w:rsidP="00BC24CA">
            <w:pPr>
              <w:pStyle w:val="Default"/>
              <w:rPr>
                <w:rFonts w:ascii="Arial" w:hAnsi="Arial" w:cs="Arial"/>
              </w:rPr>
            </w:pPr>
          </w:p>
          <w:p w14:paraId="50C4F5EC" w14:textId="716F92FE" w:rsidR="005F5A5B" w:rsidRDefault="005F5A5B" w:rsidP="0014552D">
            <w:pPr>
              <w:pStyle w:val="Default"/>
              <w:rPr>
                <w:rFonts w:ascii="Arial" w:hAnsi="Arial" w:cs="Arial"/>
              </w:rPr>
            </w:pPr>
          </w:p>
        </w:tc>
        <w:tc>
          <w:tcPr>
            <w:tcW w:w="7432" w:type="dxa"/>
          </w:tcPr>
          <w:p w14:paraId="2F1B453D" w14:textId="59C7947E" w:rsidR="005F5A5B" w:rsidRPr="00287F5A" w:rsidRDefault="00310701" w:rsidP="00626EC6">
            <w:pPr>
              <w:pStyle w:val="Default"/>
              <w:rPr>
                <w:rFonts w:ascii="Tahoma" w:hAnsi="Tahoma" w:cs="Tahoma"/>
                <w:sz w:val="22"/>
                <w:szCs w:val="22"/>
              </w:rPr>
            </w:pPr>
            <w:r w:rsidRPr="00287F5A">
              <w:rPr>
                <w:rFonts w:ascii="Tahoma" w:hAnsi="Tahoma" w:cs="Tahoma"/>
                <w:sz w:val="22"/>
                <w:szCs w:val="22"/>
              </w:rPr>
              <w:t xml:space="preserve">Inspections not relevant at this stage of </w:t>
            </w:r>
            <w:r w:rsidR="00626EC6" w:rsidRPr="00287F5A">
              <w:rPr>
                <w:rFonts w:ascii="Tahoma" w:hAnsi="Tahoma" w:cs="Tahoma"/>
                <w:sz w:val="22"/>
                <w:szCs w:val="22"/>
              </w:rPr>
              <w:t xml:space="preserve">the amended </w:t>
            </w:r>
            <w:r w:rsidRPr="00287F5A">
              <w:rPr>
                <w:rFonts w:ascii="Tahoma" w:hAnsi="Tahoma" w:cs="Tahoma"/>
                <w:sz w:val="22"/>
                <w:szCs w:val="22"/>
              </w:rPr>
              <w:t>RFI, however inspections will be allowed</w:t>
            </w:r>
            <w:r w:rsidR="00626EC6" w:rsidRPr="00287F5A">
              <w:rPr>
                <w:rFonts w:ascii="Tahoma" w:hAnsi="Tahoma" w:cs="Tahoma"/>
                <w:sz w:val="22"/>
                <w:szCs w:val="22"/>
              </w:rPr>
              <w:t xml:space="preserve"> </w:t>
            </w:r>
            <w:r w:rsidRPr="00287F5A">
              <w:rPr>
                <w:rFonts w:ascii="Tahoma" w:hAnsi="Tahoma" w:cs="Tahoma"/>
                <w:sz w:val="22"/>
                <w:szCs w:val="22"/>
              </w:rPr>
              <w:t>during the subsequent RFP stage</w:t>
            </w:r>
            <w:r w:rsidR="00626EC6" w:rsidRPr="00287F5A">
              <w:rPr>
                <w:rFonts w:ascii="Tahoma" w:hAnsi="Tahoma" w:cs="Tahoma"/>
                <w:sz w:val="22"/>
                <w:szCs w:val="22"/>
              </w:rPr>
              <w:t>.</w:t>
            </w:r>
          </w:p>
        </w:tc>
      </w:tr>
      <w:tr w:rsidR="00FD0369" w14:paraId="0D5ED113" w14:textId="77777777" w:rsidTr="00287F5A">
        <w:tc>
          <w:tcPr>
            <w:tcW w:w="6516" w:type="dxa"/>
          </w:tcPr>
          <w:p w14:paraId="094AEE67" w14:textId="77777777" w:rsidR="004479E8" w:rsidRDefault="00FD0369" w:rsidP="00FD0369">
            <w:pPr>
              <w:pStyle w:val="Default"/>
              <w:numPr>
                <w:ilvl w:val="0"/>
                <w:numId w:val="1"/>
              </w:numPr>
              <w:rPr>
                <w:rFonts w:ascii="Arial" w:hAnsi="Arial" w:cs="Arial"/>
              </w:rPr>
            </w:pPr>
            <w:r>
              <w:rPr>
                <w:rFonts w:ascii="Arial" w:hAnsi="Arial" w:cs="Arial"/>
              </w:rPr>
              <w:lastRenderedPageBreak/>
              <w:t>Utilization of Transnet Facilities &amp; Labor Considerations</w:t>
            </w:r>
          </w:p>
          <w:p w14:paraId="18586EEB" w14:textId="4FDB2F86" w:rsidR="004479E8" w:rsidRDefault="004479E8" w:rsidP="004479E8">
            <w:pPr>
              <w:pStyle w:val="Default"/>
              <w:ind w:left="360"/>
              <w:rPr>
                <w:rFonts w:ascii="Arial" w:hAnsi="Arial" w:cs="Arial"/>
              </w:rPr>
            </w:pPr>
            <w:r w:rsidRPr="00CB5828">
              <w:rPr>
                <w:rFonts w:ascii="Aptos" w:hAnsi="Aptos"/>
                <w:sz w:val="20"/>
                <w:szCs w:val="20"/>
              </w:rPr>
              <w:t>5.</w:t>
            </w:r>
            <w:r w:rsidRPr="00CB5828">
              <w:rPr>
                <w:rFonts w:ascii="Aptos" w:hAnsi="Aptos"/>
                <w:sz w:val="20"/>
                <w:szCs w:val="20"/>
              </w:rPr>
              <w:tab/>
              <w:t>If an agreement is reached with Transnet Engineering to utilize their facilities:</w:t>
            </w:r>
          </w:p>
          <w:p w14:paraId="16B982CA" w14:textId="74050A31" w:rsidR="00FD0369" w:rsidRDefault="004479E8" w:rsidP="004479E8">
            <w:pPr>
              <w:pStyle w:val="Default"/>
              <w:numPr>
                <w:ilvl w:val="0"/>
                <w:numId w:val="4"/>
              </w:numPr>
              <w:rPr>
                <w:rFonts w:ascii="Aptos" w:hAnsi="Aptos"/>
                <w:sz w:val="20"/>
                <w:szCs w:val="20"/>
              </w:rPr>
            </w:pPr>
            <w:r w:rsidRPr="00CB5828">
              <w:rPr>
                <w:rFonts w:ascii="Aptos" w:hAnsi="Aptos"/>
                <w:sz w:val="20"/>
                <w:szCs w:val="20"/>
              </w:rPr>
              <w:t xml:space="preserve">Will bidders' staff be allowed to physically work on the locomotives despite </w:t>
            </w:r>
            <w:proofErr w:type="spellStart"/>
            <w:r w:rsidRPr="00CB5828">
              <w:rPr>
                <w:rFonts w:ascii="Aptos" w:hAnsi="Aptos"/>
                <w:sz w:val="20"/>
                <w:szCs w:val="20"/>
              </w:rPr>
              <w:t>labor</w:t>
            </w:r>
            <w:proofErr w:type="spellEnd"/>
            <w:r w:rsidRPr="00CB5828">
              <w:rPr>
                <w:rFonts w:ascii="Aptos" w:hAnsi="Aptos"/>
                <w:sz w:val="20"/>
                <w:szCs w:val="20"/>
              </w:rPr>
              <w:t xml:space="preserve"> union concerns regarding private contractors?</w:t>
            </w:r>
          </w:p>
          <w:p w14:paraId="487C56FC" w14:textId="3EE3BD12" w:rsidR="004479E8" w:rsidRDefault="004479E8" w:rsidP="004479E8">
            <w:pPr>
              <w:pStyle w:val="Default"/>
              <w:numPr>
                <w:ilvl w:val="0"/>
                <w:numId w:val="4"/>
              </w:numPr>
              <w:rPr>
                <w:rFonts w:ascii="Arial" w:hAnsi="Arial" w:cs="Arial"/>
              </w:rPr>
            </w:pPr>
            <w:r w:rsidRPr="00CB5828">
              <w:rPr>
                <w:rFonts w:ascii="Aptos" w:hAnsi="Aptos"/>
                <w:sz w:val="20"/>
                <w:szCs w:val="20"/>
              </w:rPr>
              <w:t>Will Transnet provide office space and utilities to bidders' staff at the various sites?</w:t>
            </w:r>
          </w:p>
          <w:p w14:paraId="4C2166D0" w14:textId="3292DE47" w:rsidR="00FD0369" w:rsidRDefault="00FD0369" w:rsidP="00FD0369">
            <w:pPr>
              <w:pStyle w:val="Default"/>
              <w:rPr>
                <w:rFonts w:ascii="Arial" w:hAnsi="Arial" w:cs="Arial"/>
              </w:rPr>
            </w:pPr>
          </w:p>
        </w:tc>
        <w:tc>
          <w:tcPr>
            <w:tcW w:w="7432" w:type="dxa"/>
          </w:tcPr>
          <w:p w14:paraId="387220BD" w14:textId="05918994" w:rsidR="00FD0369" w:rsidRPr="00287F5A" w:rsidRDefault="00FD0369" w:rsidP="00FD0369">
            <w:pPr>
              <w:pStyle w:val="Default"/>
              <w:rPr>
                <w:rFonts w:ascii="Tahoma" w:hAnsi="Tahoma" w:cs="Tahoma"/>
                <w:sz w:val="22"/>
                <w:szCs w:val="22"/>
              </w:rPr>
            </w:pPr>
            <w:r w:rsidRPr="00287F5A">
              <w:rPr>
                <w:rFonts w:ascii="Tahoma" w:hAnsi="Tahoma" w:cs="Tahoma"/>
                <w:sz w:val="22"/>
                <w:szCs w:val="22"/>
              </w:rPr>
              <w:t>Respondent shall have their own agreement with Transnet Facility Owner if they require to do so. This is not part of the RFI Process.</w:t>
            </w:r>
          </w:p>
        </w:tc>
      </w:tr>
      <w:tr w:rsidR="00FD0369" w14:paraId="7F7A5677" w14:textId="77777777" w:rsidTr="00287F5A">
        <w:tc>
          <w:tcPr>
            <w:tcW w:w="6516" w:type="dxa"/>
          </w:tcPr>
          <w:p w14:paraId="41F186B5" w14:textId="77777777" w:rsidR="004479E8" w:rsidRDefault="00FD0369" w:rsidP="00FD0369">
            <w:pPr>
              <w:pStyle w:val="Default"/>
              <w:numPr>
                <w:ilvl w:val="0"/>
                <w:numId w:val="1"/>
              </w:numPr>
              <w:rPr>
                <w:rFonts w:ascii="Arial" w:hAnsi="Arial" w:cs="Arial"/>
              </w:rPr>
            </w:pPr>
            <w:r>
              <w:rPr>
                <w:rFonts w:ascii="Arial" w:hAnsi="Arial" w:cs="Arial"/>
              </w:rPr>
              <w:t>Definition of Long-Term Service Provision</w:t>
            </w:r>
          </w:p>
          <w:p w14:paraId="3B26FCAE" w14:textId="439B9009" w:rsidR="00FD0369" w:rsidRDefault="004479E8" w:rsidP="004479E8">
            <w:pPr>
              <w:pStyle w:val="Default"/>
              <w:ind w:left="360"/>
              <w:rPr>
                <w:rFonts w:ascii="Aptos" w:hAnsi="Aptos"/>
                <w:sz w:val="20"/>
                <w:szCs w:val="20"/>
              </w:rPr>
            </w:pPr>
            <w:r w:rsidRPr="00CB5828">
              <w:rPr>
                <w:rFonts w:ascii="Aptos" w:hAnsi="Aptos"/>
                <w:sz w:val="20"/>
                <w:szCs w:val="20"/>
              </w:rPr>
              <w:t>6.</w:t>
            </w:r>
            <w:r w:rsidRPr="00CB5828">
              <w:rPr>
                <w:rFonts w:ascii="Aptos" w:hAnsi="Aptos"/>
                <w:sz w:val="20"/>
                <w:szCs w:val="20"/>
              </w:rPr>
              <w:tab/>
              <w:t>The RFI refers to a long-term service provision—</w:t>
            </w:r>
          </w:p>
          <w:p w14:paraId="71E8FE44" w14:textId="21F1C7EB" w:rsidR="004479E8" w:rsidRDefault="004479E8" w:rsidP="004479E8">
            <w:pPr>
              <w:pStyle w:val="Default"/>
              <w:numPr>
                <w:ilvl w:val="0"/>
                <w:numId w:val="5"/>
              </w:numPr>
              <w:rPr>
                <w:rFonts w:ascii="Aptos" w:hAnsi="Aptos"/>
                <w:sz w:val="20"/>
                <w:szCs w:val="20"/>
              </w:rPr>
            </w:pPr>
            <w:r w:rsidRPr="00CB5828">
              <w:rPr>
                <w:rFonts w:ascii="Aptos" w:hAnsi="Aptos"/>
                <w:sz w:val="20"/>
                <w:szCs w:val="20"/>
              </w:rPr>
              <w:t>Could you clarify what is meant by "long-term"?</w:t>
            </w:r>
          </w:p>
          <w:p w14:paraId="75F6E3B2" w14:textId="1B8A1961" w:rsidR="004479E8" w:rsidRDefault="004479E8" w:rsidP="004479E8">
            <w:pPr>
              <w:pStyle w:val="Default"/>
              <w:numPr>
                <w:ilvl w:val="0"/>
                <w:numId w:val="5"/>
              </w:numPr>
              <w:rPr>
                <w:rFonts w:ascii="Arial" w:hAnsi="Arial" w:cs="Arial"/>
              </w:rPr>
            </w:pPr>
            <w:r w:rsidRPr="00CB5828">
              <w:rPr>
                <w:rFonts w:ascii="Aptos" w:hAnsi="Aptos"/>
                <w:sz w:val="20"/>
                <w:szCs w:val="20"/>
              </w:rPr>
              <w:t>For example, does this refer to the remaining life cycle of the locomotives?</w:t>
            </w:r>
          </w:p>
          <w:p w14:paraId="2D46538F" w14:textId="77777777" w:rsidR="00FD0369" w:rsidRDefault="00FD0369" w:rsidP="00FD0369">
            <w:pPr>
              <w:pStyle w:val="Default"/>
              <w:ind w:left="720"/>
              <w:rPr>
                <w:rFonts w:ascii="Arial" w:hAnsi="Arial" w:cs="Arial"/>
              </w:rPr>
            </w:pPr>
          </w:p>
          <w:p w14:paraId="70E0B5FA" w14:textId="10F6DD5E" w:rsidR="00FD0369" w:rsidRDefault="00FD0369" w:rsidP="00FD0369">
            <w:pPr>
              <w:pStyle w:val="Default"/>
              <w:rPr>
                <w:rFonts w:ascii="Arial" w:hAnsi="Arial" w:cs="Arial"/>
              </w:rPr>
            </w:pPr>
          </w:p>
          <w:p w14:paraId="09877449" w14:textId="69970C8E" w:rsidR="00FD0369" w:rsidRDefault="00FD0369" w:rsidP="00FD0369">
            <w:pPr>
              <w:pStyle w:val="Default"/>
              <w:rPr>
                <w:rFonts w:ascii="Arial" w:hAnsi="Arial" w:cs="Arial"/>
              </w:rPr>
            </w:pPr>
          </w:p>
        </w:tc>
        <w:tc>
          <w:tcPr>
            <w:tcW w:w="7432" w:type="dxa"/>
          </w:tcPr>
          <w:p w14:paraId="52E42971" w14:textId="2AA7330B" w:rsidR="00FD0369" w:rsidRPr="00287F5A" w:rsidRDefault="00FD0369" w:rsidP="00FD0369">
            <w:pPr>
              <w:pStyle w:val="Default"/>
              <w:rPr>
                <w:rFonts w:ascii="Tahoma" w:hAnsi="Tahoma" w:cs="Tahoma"/>
                <w:sz w:val="22"/>
                <w:szCs w:val="22"/>
              </w:rPr>
            </w:pPr>
            <w:r w:rsidRPr="00287F5A">
              <w:rPr>
                <w:rFonts w:ascii="Tahoma" w:hAnsi="Tahoma" w:cs="Tahoma"/>
                <w:sz w:val="22"/>
                <w:szCs w:val="22"/>
              </w:rPr>
              <w:t>The short-to-medium term and long-term phased approaches are adequately described in th</w:t>
            </w:r>
            <w:r w:rsidR="0031400D" w:rsidRPr="00287F5A">
              <w:rPr>
                <w:rFonts w:ascii="Tahoma" w:hAnsi="Tahoma" w:cs="Tahoma"/>
                <w:sz w:val="22"/>
                <w:szCs w:val="22"/>
              </w:rPr>
              <w:t>is</w:t>
            </w:r>
          </w:p>
          <w:p w14:paraId="2C84D8B5" w14:textId="10AC37C1" w:rsidR="00FD0369" w:rsidRPr="00287F5A" w:rsidRDefault="00FD0369" w:rsidP="00FD0369">
            <w:pPr>
              <w:pStyle w:val="Default"/>
              <w:rPr>
                <w:rFonts w:ascii="Tahoma" w:hAnsi="Tahoma" w:cs="Tahoma"/>
                <w:sz w:val="22"/>
                <w:szCs w:val="22"/>
              </w:rPr>
            </w:pPr>
            <w:r w:rsidRPr="00287F5A">
              <w:rPr>
                <w:rFonts w:ascii="Tahoma" w:hAnsi="Tahoma" w:cs="Tahoma"/>
                <w:sz w:val="22"/>
                <w:szCs w:val="22"/>
              </w:rPr>
              <w:t xml:space="preserve">RFI </w:t>
            </w:r>
            <w:r w:rsidR="0031400D" w:rsidRPr="00287F5A">
              <w:rPr>
                <w:rFonts w:ascii="Tahoma" w:hAnsi="Tahoma" w:cs="Tahoma"/>
                <w:sz w:val="22"/>
                <w:szCs w:val="22"/>
              </w:rPr>
              <w:t>(</w:t>
            </w:r>
            <w:r w:rsidR="0031400D" w:rsidRPr="00287F5A">
              <w:rPr>
                <w:rFonts w:ascii="Tahoma" w:hAnsi="Tahoma" w:cs="Tahoma"/>
                <w:b/>
                <w:bCs/>
                <w:i/>
                <w:iCs/>
                <w:sz w:val="22"/>
                <w:szCs w:val="22"/>
              </w:rPr>
              <w:t>Annexure F RFI Class 20E 21E and 22E Locomotive Fleet Recovery and Upgrade Amended)</w:t>
            </w:r>
            <w:r w:rsidR="0031400D" w:rsidRPr="00287F5A">
              <w:rPr>
                <w:rFonts w:ascii="Tahoma" w:hAnsi="Tahoma" w:cs="Tahoma"/>
                <w:i/>
                <w:iCs/>
                <w:sz w:val="22"/>
                <w:szCs w:val="22"/>
              </w:rPr>
              <w:t xml:space="preserve"> </w:t>
            </w:r>
            <w:r w:rsidRPr="00287F5A">
              <w:rPr>
                <w:rFonts w:ascii="Tahoma" w:hAnsi="Tahoma" w:cs="Tahoma"/>
                <w:sz w:val="22"/>
                <w:szCs w:val="22"/>
              </w:rPr>
              <w:t>clauses 5.2, 5.2.1 and 5.2.2</w:t>
            </w:r>
          </w:p>
        </w:tc>
      </w:tr>
      <w:tr w:rsidR="00FD0369" w14:paraId="12AECA2C" w14:textId="77777777" w:rsidTr="00287F5A">
        <w:tc>
          <w:tcPr>
            <w:tcW w:w="6516" w:type="dxa"/>
          </w:tcPr>
          <w:p w14:paraId="6C9447C2" w14:textId="77777777" w:rsidR="004479E8" w:rsidRDefault="00FD0369" w:rsidP="00FD0369">
            <w:pPr>
              <w:pStyle w:val="Default"/>
              <w:numPr>
                <w:ilvl w:val="0"/>
                <w:numId w:val="1"/>
              </w:numPr>
              <w:rPr>
                <w:rFonts w:ascii="Arial" w:hAnsi="Arial" w:cs="Arial"/>
              </w:rPr>
            </w:pPr>
            <w:r>
              <w:rPr>
                <w:rFonts w:ascii="Arial" w:hAnsi="Arial" w:cs="Arial"/>
              </w:rPr>
              <w:t>OEM Requirements &amp; Role of Integrators</w:t>
            </w:r>
            <w:r w:rsidR="004479E8">
              <w:rPr>
                <w:rFonts w:ascii="Arial" w:hAnsi="Arial" w:cs="Arial"/>
              </w:rPr>
              <w:t xml:space="preserve"> </w:t>
            </w:r>
          </w:p>
          <w:p w14:paraId="334DFA1C" w14:textId="77777777" w:rsidR="004479E8" w:rsidRDefault="004479E8" w:rsidP="004479E8">
            <w:pPr>
              <w:pStyle w:val="Default"/>
              <w:ind w:left="360"/>
              <w:rPr>
                <w:rFonts w:ascii="Aptos" w:hAnsi="Aptos"/>
                <w:sz w:val="20"/>
                <w:szCs w:val="20"/>
              </w:rPr>
            </w:pPr>
            <w:r w:rsidRPr="00CB5828">
              <w:rPr>
                <w:rFonts w:ascii="Aptos" w:hAnsi="Aptos"/>
                <w:sz w:val="20"/>
                <w:szCs w:val="20"/>
              </w:rPr>
              <w:t>7.</w:t>
            </w:r>
            <w:r w:rsidRPr="00CB5828">
              <w:rPr>
                <w:rFonts w:ascii="Aptos" w:hAnsi="Aptos"/>
                <w:sz w:val="20"/>
                <w:szCs w:val="20"/>
              </w:rPr>
              <w:tab/>
              <w:t>Is there an expectation that all bidders must be an OEM or partner with an existing OEM?</w:t>
            </w:r>
          </w:p>
          <w:p w14:paraId="054E305C" w14:textId="16F6AEB3" w:rsidR="00FD0369" w:rsidRDefault="004479E8" w:rsidP="004479E8">
            <w:pPr>
              <w:pStyle w:val="Default"/>
              <w:numPr>
                <w:ilvl w:val="0"/>
                <w:numId w:val="6"/>
              </w:numPr>
              <w:rPr>
                <w:rFonts w:ascii="Arial" w:hAnsi="Arial" w:cs="Arial"/>
              </w:rPr>
            </w:pPr>
            <w:r w:rsidRPr="00CB5828">
              <w:rPr>
                <w:rFonts w:ascii="Aptos" w:hAnsi="Aptos"/>
                <w:sz w:val="20"/>
                <w:szCs w:val="20"/>
              </w:rPr>
              <w:t>Alternatively, can a bidder act as an integrator, sourcing components from various OEMs while managing the integration process?</w:t>
            </w:r>
          </w:p>
          <w:p w14:paraId="135414B6" w14:textId="1543D68F" w:rsidR="00FD0369" w:rsidRDefault="00FD0369" w:rsidP="00FD0369">
            <w:pPr>
              <w:pStyle w:val="Default"/>
              <w:rPr>
                <w:rFonts w:ascii="Arial" w:hAnsi="Arial" w:cs="Arial"/>
              </w:rPr>
            </w:pPr>
          </w:p>
        </w:tc>
        <w:tc>
          <w:tcPr>
            <w:tcW w:w="7432" w:type="dxa"/>
          </w:tcPr>
          <w:p w14:paraId="1BAB38CD" w14:textId="1A6882D1" w:rsidR="00FD0369" w:rsidRPr="00287F5A" w:rsidRDefault="00FD0369" w:rsidP="00FD0369">
            <w:pPr>
              <w:pStyle w:val="Default"/>
              <w:rPr>
                <w:rFonts w:ascii="Tahoma" w:hAnsi="Tahoma" w:cs="Tahoma"/>
                <w:sz w:val="22"/>
                <w:szCs w:val="22"/>
              </w:rPr>
            </w:pPr>
            <w:r w:rsidRPr="00287F5A">
              <w:rPr>
                <w:rFonts w:ascii="Tahoma" w:hAnsi="Tahoma" w:cs="Tahoma"/>
                <w:sz w:val="22"/>
                <w:szCs w:val="22"/>
              </w:rPr>
              <w:t>Refer to definitions of "</w:t>
            </w:r>
            <w:r w:rsidRPr="00287F5A">
              <w:rPr>
                <w:rFonts w:ascii="Tahoma" w:hAnsi="Tahoma" w:cs="Tahoma"/>
                <w:b/>
                <w:bCs/>
                <w:sz w:val="22"/>
                <w:szCs w:val="22"/>
              </w:rPr>
              <w:t>respondent</w:t>
            </w:r>
            <w:r w:rsidRPr="00287F5A">
              <w:rPr>
                <w:rFonts w:ascii="Tahoma" w:hAnsi="Tahoma" w:cs="Tahoma"/>
                <w:sz w:val="22"/>
                <w:szCs w:val="22"/>
              </w:rPr>
              <w:t>" on the amended RFI</w:t>
            </w:r>
            <w:r w:rsidR="0031400D" w:rsidRPr="00287F5A">
              <w:rPr>
                <w:rFonts w:ascii="Tahoma" w:hAnsi="Tahoma" w:cs="Tahoma"/>
                <w:sz w:val="22"/>
                <w:szCs w:val="22"/>
              </w:rPr>
              <w:t xml:space="preserve"> (</w:t>
            </w:r>
            <w:r w:rsidR="0031400D" w:rsidRPr="00287F5A">
              <w:rPr>
                <w:rFonts w:ascii="Tahoma" w:hAnsi="Tahoma" w:cs="Tahoma"/>
                <w:b/>
                <w:bCs/>
                <w:i/>
                <w:iCs/>
                <w:sz w:val="22"/>
                <w:szCs w:val="22"/>
              </w:rPr>
              <w:t>Annexure F RFI Class 20E 21E and 22E Locomotive Fleet Recovery and Upgrade Amended)</w:t>
            </w:r>
            <w:r w:rsidRPr="00287F5A">
              <w:rPr>
                <w:rFonts w:ascii="Tahoma" w:hAnsi="Tahoma" w:cs="Tahoma"/>
                <w:sz w:val="22"/>
                <w:szCs w:val="22"/>
              </w:rPr>
              <w:t xml:space="preserve"> page 11</w:t>
            </w:r>
          </w:p>
        </w:tc>
      </w:tr>
      <w:tr w:rsidR="00FD0369" w14:paraId="33B3E82D" w14:textId="77777777" w:rsidTr="00287F5A">
        <w:tc>
          <w:tcPr>
            <w:tcW w:w="6516" w:type="dxa"/>
          </w:tcPr>
          <w:p w14:paraId="548E06FC" w14:textId="77777777" w:rsidR="004479E8" w:rsidRDefault="00FD0369" w:rsidP="00FD0369">
            <w:pPr>
              <w:pStyle w:val="Default"/>
              <w:numPr>
                <w:ilvl w:val="0"/>
                <w:numId w:val="1"/>
              </w:numPr>
              <w:rPr>
                <w:rFonts w:ascii="Arial" w:hAnsi="Arial" w:cs="Arial"/>
              </w:rPr>
            </w:pPr>
            <w:r>
              <w:rPr>
                <w:rFonts w:ascii="Arial" w:hAnsi="Arial" w:cs="Arial"/>
              </w:rPr>
              <w:t>Localization &amp; Compliance with DTI Regulations</w:t>
            </w:r>
          </w:p>
          <w:p w14:paraId="7262AD97" w14:textId="38EF6F4F" w:rsidR="00FD0369" w:rsidRDefault="004479E8" w:rsidP="004479E8">
            <w:pPr>
              <w:pStyle w:val="Default"/>
              <w:ind w:left="360"/>
              <w:rPr>
                <w:rFonts w:ascii="Arial" w:hAnsi="Arial" w:cs="Arial"/>
              </w:rPr>
            </w:pPr>
            <w:r w:rsidRPr="00CB5828">
              <w:rPr>
                <w:rFonts w:ascii="Aptos" w:hAnsi="Aptos"/>
                <w:sz w:val="20"/>
                <w:szCs w:val="20"/>
              </w:rPr>
              <w:t>8. Will bidders be required to localize all components in compliance with the DTI's list of locally sourced components?</w:t>
            </w:r>
          </w:p>
          <w:p w14:paraId="568EA837" w14:textId="67AED0DB" w:rsidR="00FD0369" w:rsidRDefault="00FD0369" w:rsidP="00FD0369">
            <w:pPr>
              <w:pStyle w:val="Default"/>
              <w:rPr>
                <w:rFonts w:ascii="Arial" w:hAnsi="Arial" w:cs="Arial"/>
              </w:rPr>
            </w:pPr>
          </w:p>
        </w:tc>
        <w:tc>
          <w:tcPr>
            <w:tcW w:w="7432" w:type="dxa"/>
          </w:tcPr>
          <w:p w14:paraId="39D82298" w14:textId="5827F2D7" w:rsidR="00FD0369" w:rsidRPr="00287F5A" w:rsidRDefault="00B27568" w:rsidP="00B27568">
            <w:pPr>
              <w:pStyle w:val="Default"/>
              <w:jc w:val="both"/>
              <w:rPr>
                <w:rFonts w:ascii="Tahoma" w:hAnsi="Tahoma" w:cs="Tahoma"/>
                <w:sz w:val="22"/>
                <w:szCs w:val="22"/>
              </w:rPr>
            </w:pPr>
            <w:r w:rsidRPr="00B27568">
              <w:rPr>
                <w:rFonts w:ascii="Tahoma" w:hAnsi="Tahoma" w:cs="Tahoma"/>
                <w:color w:val="auto"/>
                <w:sz w:val="22"/>
                <w:szCs w:val="22"/>
              </w:rPr>
              <w:t xml:space="preserve">Some of the rolling stock and associated spares are designated, the respective percentages will be confirmed with DTI during the RFP demand stage however that requirement will not be enforced now at the RFI stage. </w:t>
            </w:r>
          </w:p>
        </w:tc>
      </w:tr>
      <w:tr w:rsidR="00FD0369" w14:paraId="26ED37F3" w14:textId="77777777" w:rsidTr="00287F5A">
        <w:tc>
          <w:tcPr>
            <w:tcW w:w="6516" w:type="dxa"/>
          </w:tcPr>
          <w:p w14:paraId="5B0B1A6D" w14:textId="77777777" w:rsidR="004479E8" w:rsidRDefault="00FD0369" w:rsidP="00FD0369">
            <w:pPr>
              <w:pStyle w:val="Default"/>
              <w:numPr>
                <w:ilvl w:val="0"/>
                <w:numId w:val="1"/>
              </w:numPr>
              <w:rPr>
                <w:rFonts w:ascii="Arial" w:hAnsi="Arial" w:cs="Arial"/>
              </w:rPr>
            </w:pPr>
            <w:r>
              <w:rPr>
                <w:rFonts w:ascii="Arial" w:hAnsi="Arial" w:cs="Arial"/>
              </w:rPr>
              <w:t>RSR Certification &amp; Feasibility of Pre-Approval</w:t>
            </w:r>
            <w:r w:rsidR="004479E8">
              <w:rPr>
                <w:rFonts w:ascii="Arial" w:hAnsi="Arial" w:cs="Arial"/>
              </w:rPr>
              <w:t xml:space="preserve"> </w:t>
            </w:r>
          </w:p>
          <w:p w14:paraId="25F3E877" w14:textId="59B049C6" w:rsidR="00FD0369" w:rsidRDefault="004479E8" w:rsidP="004479E8">
            <w:pPr>
              <w:pStyle w:val="Default"/>
              <w:ind w:left="360"/>
              <w:rPr>
                <w:rFonts w:ascii="Aptos" w:hAnsi="Aptos"/>
                <w:sz w:val="20"/>
                <w:szCs w:val="20"/>
              </w:rPr>
            </w:pPr>
            <w:r w:rsidRPr="00CB5828">
              <w:rPr>
                <w:rFonts w:ascii="Aptos" w:hAnsi="Aptos"/>
                <w:sz w:val="20"/>
                <w:szCs w:val="20"/>
              </w:rPr>
              <w:t>9. To our knowledge, RSR certification for any modification is only issued after the modification has been reviewed and approved by the RSR.</w:t>
            </w:r>
          </w:p>
          <w:p w14:paraId="7543B48E" w14:textId="77777777" w:rsidR="004479E8" w:rsidRDefault="004479E8" w:rsidP="004479E8">
            <w:pPr>
              <w:pStyle w:val="Default"/>
              <w:numPr>
                <w:ilvl w:val="0"/>
                <w:numId w:val="7"/>
              </w:numPr>
              <w:rPr>
                <w:rFonts w:ascii="Aptos" w:hAnsi="Aptos"/>
                <w:sz w:val="20"/>
                <w:szCs w:val="20"/>
              </w:rPr>
            </w:pPr>
            <w:r w:rsidRPr="00CB5828">
              <w:rPr>
                <w:rFonts w:ascii="Aptos" w:hAnsi="Aptos"/>
                <w:sz w:val="20"/>
                <w:szCs w:val="20"/>
              </w:rPr>
              <w:t>Since an RSR certificate cannot be obtained upfront, please clarify how bidders should proceed.</w:t>
            </w:r>
          </w:p>
          <w:p w14:paraId="021D30A7" w14:textId="4172B00F" w:rsidR="004479E8" w:rsidRDefault="004479E8" w:rsidP="004479E8">
            <w:pPr>
              <w:pStyle w:val="Default"/>
              <w:numPr>
                <w:ilvl w:val="0"/>
                <w:numId w:val="7"/>
              </w:numPr>
              <w:rPr>
                <w:rFonts w:ascii="Arial" w:hAnsi="Arial" w:cs="Arial"/>
              </w:rPr>
            </w:pPr>
            <w:r w:rsidRPr="00CB5828">
              <w:rPr>
                <w:rFonts w:ascii="Aptos" w:hAnsi="Aptos"/>
                <w:sz w:val="20"/>
                <w:szCs w:val="20"/>
              </w:rPr>
              <w:lastRenderedPageBreak/>
              <w:t>Furthermore, for any modifications, prototype development and type testing must be conducted before an RSR No Objection Certificate (NOC) is granted. Please confirm how this will be accommodated in the RFI process.</w:t>
            </w:r>
          </w:p>
          <w:p w14:paraId="6C4D11E7" w14:textId="59C1B138" w:rsidR="00FD0369" w:rsidRDefault="00FD0369" w:rsidP="00FD0369">
            <w:pPr>
              <w:pStyle w:val="Default"/>
              <w:rPr>
                <w:rFonts w:ascii="Arial" w:hAnsi="Arial" w:cs="Arial"/>
              </w:rPr>
            </w:pPr>
          </w:p>
        </w:tc>
        <w:tc>
          <w:tcPr>
            <w:tcW w:w="7432" w:type="dxa"/>
          </w:tcPr>
          <w:p w14:paraId="5933CE80" w14:textId="2A87C448" w:rsidR="00FD0369" w:rsidRPr="00287F5A" w:rsidRDefault="00FD0369" w:rsidP="00FD0369">
            <w:pPr>
              <w:pStyle w:val="Default"/>
              <w:rPr>
                <w:rFonts w:ascii="Tahoma" w:hAnsi="Tahoma" w:cs="Tahoma"/>
                <w:sz w:val="22"/>
                <w:szCs w:val="22"/>
              </w:rPr>
            </w:pPr>
            <w:r w:rsidRPr="00287F5A">
              <w:rPr>
                <w:rFonts w:ascii="Tahoma" w:hAnsi="Tahoma" w:cs="Tahoma"/>
                <w:sz w:val="22"/>
                <w:szCs w:val="22"/>
              </w:rPr>
              <w:lastRenderedPageBreak/>
              <w:t xml:space="preserve">The Respondent should demonstrate experience with compliance to various international standards RSR being one off. </w:t>
            </w:r>
          </w:p>
          <w:p w14:paraId="3385F9FD" w14:textId="77777777" w:rsidR="00FD0369" w:rsidRPr="00287F5A" w:rsidRDefault="00FD0369" w:rsidP="00FD0369">
            <w:pPr>
              <w:pStyle w:val="Default"/>
              <w:rPr>
                <w:rFonts w:ascii="Tahoma" w:hAnsi="Tahoma" w:cs="Tahoma"/>
                <w:sz w:val="22"/>
                <w:szCs w:val="22"/>
              </w:rPr>
            </w:pPr>
          </w:p>
          <w:p w14:paraId="35D4318F" w14:textId="77777777" w:rsidR="00FD0369" w:rsidRPr="00287F5A" w:rsidRDefault="00FD0369" w:rsidP="00FD0369">
            <w:pPr>
              <w:pStyle w:val="Default"/>
              <w:rPr>
                <w:rFonts w:ascii="Tahoma" w:hAnsi="Tahoma" w:cs="Tahoma"/>
                <w:sz w:val="22"/>
                <w:szCs w:val="22"/>
              </w:rPr>
            </w:pPr>
          </w:p>
          <w:p w14:paraId="63B4B76A" w14:textId="77777777" w:rsidR="00FD0369" w:rsidRPr="00287F5A" w:rsidRDefault="00FD0369" w:rsidP="00FD0369">
            <w:pPr>
              <w:pStyle w:val="Default"/>
              <w:rPr>
                <w:rFonts w:ascii="Tahoma" w:hAnsi="Tahoma" w:cs="Tahoma"/>
                <w:sz w:val="22"/>
                <w:szCs w:val="22"/>
              </w:rPr>
            </w:pPr>
          </w:p>
        </w:tc>
      </w:tr>
      <w:tr w:rsidR="00FD0369" w14:paraId="429789D3" w14:textId="77777777" w:rsidTr="00287F5A">
        <w:tc>
          <w:tcPr>
            <w:tcW w:w="6516" w:type="dxa"/>
          </w:tcPr>
          <w:p w14:paraId="1A73FE19" w14:textId="77777777" w:rsidR="004479E8" w:rsidRDefault="00FD0369" w:rsidP="00FD0369">
            <w:pPr>
              <w:pStyle w:val="Default"/>
              <w:numPr>
                <w:ilvl w:val="0"/>
                <w:numId w:val="1"/>
              </w:numPr>
              <w:rPr>
                <w:rFonts w:ascii="Arial" w:hAnsi="Arial" w:cs="Arial"/>
              </w:rPr>
            </w:pPr>
            <w:r>
              <w:rPr>
                <w:rFonts w:ascii="Arial" w:hAnsi="Arial" w:cs="Arial"/>
              </w:rPr>
              <w:t>International Experience &amp; Acceptance of Non-RSR Certifications</w:t>
            </w:r>
            <w:r w:rsidR="004479E8">
              <w:rPr>
                <w:rFonts w:ascii="Arial" w:hAnsi="Arial" w:cs="Arial"/>
              </w:rPr>
              <w:t xml:space="preserve">  </w:t>
            </w:r>
          </w:p>
          <w:p w14:paraId="69971199" w14:textId="77777777" w:rsidR="004479E8" w:rsidRDefault="004479E8" w:rsidP="004479E8">
            <w:pPr>
              <w:pStyle w:val="Default"/>
              <w:ind w:left="360"/>
              <w:rPr>
                <w:rFonts w:ascii="Aptos" w:hAnsi="Aptos"/>
                <w:sz w:val="20"/>
                <w:szCs w:val="20"/>
              </w:rPr>
            </w:pPr>
            <w:r w:rsidRPr="00CB5828">
              <w:rPr>
                <w:rFonts w:ascii="Aptos" w:hAnsi="Aptos"/>
                <w:sz w:val="20"/>
                <w:szCs w:val="20"/>
              </w:rPr>
              <w:t xml:space="preserve">10. If an entity has performed work in a country without an equivalent RSR regulatory body, </w:t>
            </w:r>
          </w:p>
          <w:p w14:paraId="34CA53E3" w14:textId="40932FA1" w:rsidR="00FD0369" w:rsidRDefault="004479E8" w:rsidP="00A33FEE">
            <w:pPr>
              <w:pStyle w:val="Default"/>
              <w:numPr>
                <w:ilvl w:val="0"/>
                <w:numId w:val="8"/>
              </w:numPr>
              <w:rPr>
                <w:rFonts w:ascii="Arial" w:hAnsi="Arial" w:cs="Arial"/>
              </w:rPr>
            </w:pPr>
            <w:r w:rsidRPr="00CB5828">
              <w:rPr>
                <w:rFonts w:ascii="Aptos" w:hAnsi="Aptos"/>
                <w:sz w:val="20"/>
                <w:szCs w:val="20"/>
              </w:rPr>
              <w:t>Will evidence of this work be accepted as proof of the bidder's capability to perform the required work?</w:t>
            </w:r>
          </w:p>
          <w:p w14:paraId="7DECE82E" w14:textId="27C15D80" w:rsidR="00FD0369" w:rsidRDefault="00FD0369" w:rsidP="00FD0369">
            <w:pPr>
              <w:pStyle w:val="Default"/>
              <w:rPr>
                <w:rFonts w:ascii="Arial" w:hAnsi="Arial" w:cs="Arial"/>
              </w:rPr>
            </w:pPr>
          </w:p>
        </w:tc>
        <w:tc>
          <w:tcPr>
            <w:tcW w:w="7432" w:type="dxa"/>
          </w:tcPr>
          <w:p w14:paraId="0F20A16C" w14:textId="77777777" w:rsidR="00B4542F" w:rsidRPr="00287F5A" w:rsidRDefault="00B4542F" w:rsidP="00B4542F">
            <w:pPr>
              <w:pStyle w:val="Default"/>
              <w:rPr>
                <w:rFonts w:ascii="Tahoma" w:hAnsi="Tahoma" w:cs="Tahoma"/>
                <w:sz w:val="22"/>
                <w:szCs w:val="22"/>
              </w:rPr>
            </w:pPr>
            <w:r w:rsidRPr="00287F5A">
              <w:rPr>
                <w:rFonts w:ascii="Tahoma" w:hAnsi="Tahoma" w:cs="Tahoma"/>
                <w:sz w:val="22"/>
                <w:szCs w:val="22"/>
              </w:rPr>
              <w:t xml:space="preserve">The Respondent should demonstrate experience with compliance to various international standards RSR being one off. </w:t>
            </w:r>
          </w:p>
          <w:p w14:paraId="0494268C" w14:textId="77777777" w:rsidR="00FD0369" w:rsidRPr="00287F5A" w:rsidRDefault="00FD0369" w:rsidP="00FD0369">
            <w:pPr>
              <w:pStyle w:val="Default"/>
              <w:rPr>
                <w:rFonts w:ascii="Tahoma" w:hAnsi="Tahoma" w:cs="Tahoma"/>
                <w:sz w:val="22"/>
                <w:szCs w:val="22"/>
              </w:rPr>
            </w:pPr>
          </w:p>
        </w:tc>
      </w:tr>
      <w:tr w:rsidR="00FD0369" w14:paraId="6CE92872" w14:textId="77777777" w:rsidTr="00287F5A">
        <w:tc>
          <w:tcPr>
            <w:tcW w:w="6516" w:type="dxa"/>
          </w:tcPr>
          <w:p w14:paraId="4B5FA76F" w14:textId="77777777" w:rsidR="00A33FEE" w:rsidRDefault="00FD0369" w:rsidP="00FD0369">
            <w:pPr>
              <w:pStyle w:val="Default"/>
              <w:numPr>
                <w:ilvl w:val="0"/>
                <w:numId w:val="1"/>
              </w:numPr>
              <w:rPr>
                <w:rFonts w:ascii="Arial" w:hAnsi="Arial" w:cs="Arial"/>
              </w:rPr>
            </w:pPr>
            <w:r>
              <w:rPr>
                <w:rFonts w:ascii="Arial" w:hAnsi="Arial" w:cs="Arial"/>
              </w:rPr>
              <w:t>Minimum Qualifying Threshold &amp; Assessment Criteria</w:t>
            </w:r>
          </w:p>
          <w:p w14:paraId="69B83690" w14:textId="77777777" w:rsidR="00A33FEE" w:rsidRDefault="00A33FEE" w:rsidP="00A33FEE">
            <w:pPr>
              <w:pStyle w:val="Default"/>
              <w:ind w:left="360"/>
              <w:rPr>
                <w:rFonts w:ascii="Aptos" w:hAnsi="Aptos"/>
                <w:sz w:val="20"/>
                <w:szCs w:val="20"/>
              </w:rPr>
            </w:pPr>
            <w:r w:rsidRPr="00CB5828">
              <w:rPr>
                <w:rFonts w:ascii="Aptos" w:hAnsi="Aptos"/>
                <w:sz w:val="20"/>
                <w:szCs w:val="20"/>
              </w:rPr>
              <w:t>Il. The original RFI had extensive technical requirements with an 80% minimum threshold.</w:t>
            </w:r>
          </w:p>
          <w:p w14:paraId="6A6CDF39" w14:textId="5B122A45" w:rsidR="00FD0369" w:rsidRDefault="00A33FEE" w:rsidP="00A33FEE">
            <w:pPr>
              <w:pStyle w:val="Default"/>
              <w:ind w:left="720"/>
              <w:rPr>
                <w:rFonts w:ascii="Aptos" w:hAnsi="Aptos"/>
                <w:sz w:val="20"/>
                <w:szCs w:val="20"/>
              </w:rPr>
            </w:pPr>
            <w:r w:rsidRPr="00CB5828">
              <w:rPr>
                <w:rFonts w:ascii="Aptos" w:hAnsi="Aptos"/>
                <w:sz w:val="20"/>
                <w:szCs w:val="20"/>
              </w:rPr>
              <w:t>However, in the amended RFI, the 80% threshold was removed.</w:t>
            </w:r>
          </w:p>
          <w:p w14:paraId="7A266ECE" w14:textId="77777777" w:rsidR="00A33FEE" w:rsidRDefault="00A33FEE" w:rsidP="00A33FEE">
            <w:pPr>
              <w:pStyle w:val="Default"/>
              <w:ind w:left="720"/>
              <w:rPr>
                <w:rFonts w:ascii="Aptos" w:hAnsi="Aptos"/>
                <w:sz w:val="20"/>
                <w:szCs w:val="20"/>
              </w:rPr>
            </w:pPr>
            <w:r w:rsidRPr="00CB5828">
              <w:rPr>
                <w:rFonts w:ascii="Aptos" w:hAnsi="Aptos"/>
                <w:sz w:val="20"/>
                <w:szCs w:val="20"/>
              </w:rPr>
              <w:t xml:space="preserve">What is the new minimum qualifying threshold for bidders to progress to the next stage? </w:t>
            </w:r>
          </w:p>
          <w:p w14:paraId="28A42A8B" w14:textId="19735F94" w:rsidR="00A33FEE" w:rsidRDefault="00A33FEE" w:rsidP="00A33FEE">
            <w:pPr>
              <w:pStyle w:val="Default"/>
              <w:ind w:left="720"/>
              <w:rPr>
                <w:rFonts w:ascii="Arial" w:hAnsi="Arial" w:cs="Arial"/>
              </w:rPr>
            </w:pPr>
            <w:r w:rsidRPr="00CB5828">
              <w:rPr>
                <w:rFonts w:ascii="Aptos" w:hAnsi="Aptos"/>
                <w:sz w:val="20"/>
                <w:szCs w:val="20"/>
              </w:rPr>
              <w:t>What assessment criteria will now be used to evaluate bidders?</w:t>
            </w:r>
          </w:p>
          <w:p w14:paraId="5FDED954" w14:textId="5718C268" w:rsidR="00FD0369" w:rsidRDefault="00FD0369" w:rsidP="00FD0369">
            <w:pPr>
              <w:pStyle w:val="Default"/>
              <w:rPr>
                <w:rFonts w:ascii="Arial" w:hAnsi="Arial" w:cs="Arial"/>
              </w:rPr>
            </w:pPr>
          </w:p>
        </w:tc>
        <w:tc>
          <w:tcPr>
            <w:tcW w:w="7432" w:type="dxa"/>
          </w:tcPr>
          <w:p w14:paraId="034443C9" w14:textId="51F3EFF2" w:rsidR="00FD0369" w:rsidRPr="00287F5A" w:rsidRDefault="00FD0369" w:rsidP="00FD0369">
            <w:pPr>
              <w:pStyle w:val="Default"/>
              <w:rPr>
                <w:rFonts w:ascii="Tahoma" w:hAnsi="Tahoma" w:cs="Tahoma"/>
                <w:sz w:val="22"/>
                <w:szCs w:val="22"/>
              </w:rPr>
            </w:pPr>
            <w:r w:rsidRPr="00287F5A">
              <w:rPr>
                <w:rFonts w:ascii="Tahoma" w:hAnsi="Tahoma" w:cs="Tahoma"/>
                <w:sz w:val="22"/>
                <w:szCs w:val="22"/>
              </w:rPr>
              <w:t xml:space="preserve">Refer to RFI </w:t>
            </w:r>
            <w:r w:rsidR="0031400D" w:rsidRPr="00287F5A">
              <w:rPr>
                <w:rFonts w:ascii="Tahoma" w:hAnsi="Tahoma" w:cs="Tahoma"/>
                <w:sz w:val="22"/>
                <w:szCs w:val="22"/>
              </w:rPr>
              <w:t>(</w:t>
            </w:r>
            <w:r w:rsidR="0031400D" w:rsidRPr="00287F5A">
              <w:rPr>
                <w:rFonts w:ascii="Tahoma" w:hAnsi="Tahoma" w:cs="Tahoma"/>
                <w:b/>
                <w:bCs/>
                <w:i/>
                <w:iCs/>
                <w:sz w:val="22"/>
                <w:szCs w:val="22"/>
              </w:rPr>
              <w:t>Annexure F RFI Class 20E 21E and 22E Locomotive Fleet Recovery and Upgrade Amended)</w:t>
            </w:r>
            <w:r w:rsidR="0031400D" w:rsidRPr="00287F5A">
              <w:rPr>
                <w:rFonts w:ascii="Tahoma" w:hAnsi="Tahoma" w:cs="Tahoma"/>
                <w:sz w:val="22"/>
                <w:szCs w:val="22"/>
              </w:rPr>
              <w:t xml:space="preserve"> </w:t>
            </w:r>
            <w:r w:rsidRPr="00287F5A">
              <w:rPr>
                <w:rFonts w:ascii="Tahoma" w:hAnsi="Tahoma" w:cs="Tahoma"/>
                <w:sz w:val="22"/>
                <w:szCs w:val="22"/>
              </w:rPr>
              <w:t>clause 5.2.3 for screening and evaluation</w:t>
            </w:r>
          </w:p>
        </w:tc>
      </w:tr>
      <w:tr w:rsidR="00FD0369" w14:paraId="538BE716" w14:textId="77777777" w:rsidTr="00287F5A">
        <w:tc>
          <w:tcPr>
            <w:tcW w:w="6516" w:type="dxa"/>
          </w:tcPr>
          <w:p w14:paraId="2667EE76" w14:textId="77777777" w:rsidR="00A33FEE" w:rsidRDefault="00FD0369" w:rsidP="00FD0369">
            <w:pPr>
              <w:pStyle w:val="Default"/>
              <w:numPr>
                <w:ilvl w:val="0"/>
                <w:numId w:val="1"/>
              </w:numPr>
              <w:rPr>
                <w:rFonts w:ascii="Arial" w:hAnsi="Arial" w:cs="Arial"/>
              </w:rPr>
            </w:pPr>
            <w:r>
              <w:rPr>
                <w:rFonts w:ascii="Arial" w:hAnsi="Arial" w:cs="Arial"/>
              </w:rPr>
              <w:t>Pricing Request in an RFI Process</w:t>
            </w:r>
          </w:p>
          <w:p w14:paraId="04FC1079" w14:textId="5A5C6A54" w:rsidR="00FD0369" w:rsidRDefault="00A33FEE" w:rsidP="00A33FEE">
            <w:pPr>
              <w:pStyle w:val="Default"/>
              <w:ind w:left="360"/>
              <w:rPr>
                <w:rFonts w:ascii="Arial" w:hAnsi="Arial" w:cs="Arial"/>
              </w:rPr>
            </w:pPr>
            <w:r w:rsidRPr="00CB5828">
              <w:rPr>
                <w:rFonts w:ascii="Aptos" w:hAnsi="Aptos"/>
                <w:sz w:val="20"/>
                <w:szCs w:val="20"/>
              </w:rPr>
              <w:t>12. As this is an RFI and not an RFQ, could you clarify why pricing information is being requested?</w:t>
            </w:r>
          </w:p>
          <w:p w14:paraId="613B7957" w14:textId="7C33E574" w:rsidR="00FD0369" w:rsidRDefault="00FD0369" w:rsidP="00FD0369">
            <w:pPr>
              <w:pStyle w:val="Default"/>
              <w:rPr>
                <w:rFonts w:ascii="Arial" w:hAnsi="Arial" w:cs="Arial"/>
              </w:rPr>
            </w:pPr>
          </w:p>
        </w:tc>
        <w:tc>
          <w:tcPr>
            <w:tcW w:w="7432" w:type="dxa"/>
          </w:tcPr>
          <w:p w14:paraId="41AAE124" w14:textId="3093C4B1" w:rsidR="00FD0369" w:rsidRPr="00287F5A" w:rsidRDefault="00FD0369" w:rsidP="00FD0369">
            <w:pPr>
              <w:pStyle w:val="Default"/>
              <w:rPr>
                <w:rFonts w:ascii="Tahoma" w:hAnsi="Tahoma" w:cs="Tahoma"/>
                <w:sz w:val="22"/>
                <w:szCs w:val="22"/>
              </w:rPr>
            </w:pPr>
            <w:r w:rsidRPr="00287F5A">
              <w:rPr>
                <w:rFonts w:ascii="Tahoma" w:hAnsi="Tahoma" w:cs="Tahoma"/>
                <w:sz w:val="22"/>
                <w:szCs w:val="22"/>
              </w:rPr>
              <w:t>This is RFI, no pricing requirements</w:t>
            </w:r>
          </w:p>
        </w:tc>
      </w:tr>
      <w:tr w:rsidR="00FD0369" w14:paraId="7CA3940F" w14:textId="77777777" w:rsidTr="00287F5A">
        <w:tc>
          <w:tcPr>
            <w:tcW w:w="6516" w:type="dxa"/>
          </w:tcPr>
          <w:p w14:paraId="3D16D7DD" w14:textId="77777777" w:rsidR="00A33FEE" w:rsidRDefault="00FD0369" w:rsidP="00FD0369">
            <w:pPr>
              <w:pStyle w:val="Default"/>
              <w:numPr>
                <w:ilvl w:val="0"/>
                <w:numId w:val="1"/>
              </w:numPr>
              <w:rPr>
                <w:rFonts w:ascii="Arial" w:hAnsi="Arial" w:cs="Arial"/>
              </w:rPr>
            </w:pPr>
            <w:r>
              <w:rPr>
                <w:rFonts w:ascii="Arial" w:hAnsi="Arial" w:cs="Arial"/>
              </w:rPr>
              <w:t>Request for an Extension</w:t>
            </w:r>
          </w:p>
          <w:p w14:paraId="172D2AA1" w14:textId="1A7CB41F" w:rsidR="00FD0369" w:rsidRDefault="00A33FEE" w:rsidP="00A33FEE">
            <w:pPr>
              <w:pStyle w:val="Default"/>
              <w:ind w:left="360"/>
              <w:rPr>
                <w:rFonts w:ascii="Arial" w:hAnsi="Arial" w:cs="Arial"/>
              </w:rPr>
            </w:pPr>
            <w:r w:rsidRPr="00CB5828">
              <w:rPr>
                <w:rFonts w:ascii="Aptos" w:hAnsi="Aptos"/>
                <w:sz w:val="20"/>
                <w:szCs w:val="20"/>
              </w:rPr>
              <w:t>13. Given the technical complexity of this submission, we kindly request an extension of the closing date to allow sufficient time to prepare a comprehensive and competitive submission</w:t>
            </w:r>
          </w:p>
          <w:p w14:paraId="48A21993" w14:textId="6DF68302" w:rsidR="00FD0369" w:rsidRDefault="00FD0369" w:rsidP="00FD0369">
            <w:pPr>
              <w:pStyle w:val="Default"/>
              <w:rPr>
                <w:rFonts w:ascii="Arial" w:hAnsi="Arial" w:cs="Arial"/>
              </w:rPr>
            </w:pPr>
          </w:p>
        </w:tc>
        <w:tc>
          <w:tcPr>
            <w:tcW w:w="7432" w:type="dxa"/>
          </w:tcPr>
          <w:p w14:paraId="0DBBE742" w14:textId="3FA655A8" w:rsidR="00FD0369" w:rsidRPr="00287F5A" w:rsidRDefault="00FD0369" w:rsidP="00FD0369">
            <w:pPr>
              <w:pStyle w:val="Default"/>
              <w:rPr>
                <w:rFonts w:ascii="Tahoma" w:hAnsi="Tahoma" w:cs="Tahoma"/>
                <w:sz w:val="22"/>
                <w:szCs w:val="22"/>
              </w:rPr>
            </w:pPr>
            <w:r w:rsidRPr="00287F5A">
              <w:rPr>
                <w:rFonts w:ascii="Tahoma" w:hAnsi="Tahoma" w:cs="Tahoma"/>
                <w:sz w:val="22"/>
                <w:szCs w:val="22"/>
              </w:rPr>
              <w:t>Already extended from 27 February 2025 to 27 March 2025</w:t>
            </w:r>
          </w:p>
        </w:tc>
      </w:tr>
    </w:tbl>
    <w:p w14:paraId="424107DF" w14:textId="6C0BAA27" w:rsidR="005F5A5B" w:rsidRDefault="005F5A5B" w:rsidP="0014552D">
      <w:pPr>
        <w:pStyle w:val="Default"/>
        <w:rPr>
          <w:rFonts w:ascii="Arial" w:hAnsi="Arial" w:cs="Arial"/>
        </w:rPr>
      </w:pPr>
    </w:p>
    <w:sectPr w:rsidR="005F5A5B" w:rsidSect="005F5A5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D1E0A"/>
    <w:multiLevelType w:val="hybridMultilevel"/>
    <w:tmpl w:val="3BF2FBD4"/>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3BA03506"/>
    <w:multiLevelType w:val="hybridMultilevel"/>
    <w:tmpl w:val="E20A1790"/>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3BE51002"/>
    <w:multiLevelType w:val="hybridMultilevel"/>
    <w:tmpl w:val="3C04F422"/>
    <w:lvl w:ilvl="0" w:tplc="1C090003">
      <w:start w:val="1"/>
      <w:numFmt w:val="bullet"/>
      <w:lvlText w:val="o"/>
      <w:lvlJc w:val="left"/>
      <w:pPr>
        <w:ind w:left="762" w:hanging="360"/>
      </w:pPr>
      <w:rPr>
        <w:rFonts w:ascii="Courier New" w:hAnsi="Courier New" w:cs="Courier New" w:hint="default"/>
      </w:rPr>
    </w:lvl>
    <w:lvl w:ilvl="1" w:tplc="1C090003" w:tentative="1">
      <w:start w:val="1"/>
      <w:numFmt w:val="bullet"/>
      <w:lvlText w:val="o"/>
      <w:lvlJc w:val="left"/>
      <w:pPr>
        <w:ind w:left="1482" w:hanging="360"/>
      </w:pPr>
      <w:rPr>
        <w:rFonts w:ascii="Courier New" w:hAnsi="Courier New" w:cs="Courier New" w:hint="default"/>
      </w:rPr>
    </w:lvl>
    <w:lvl w:ilvl="2" w:tplc="1C090005" w:tentative="1">
      <w:start w:val="1"/>
      <w:numFmt w:val="bullet"/>
      <w:lvlText w:val=""/>
      <w:lvlJc w:val="left"/>
      <w:pPr>
        <w:ind w:left="2202" w:hanging="360"/>
      </w:pPr>
      <w:rPr>
        <w:rFonts w:ascii="Wingdings" w:hAnsi="Wingdings" w:hint="default"/>
      </w:rPr>
    </w:lvl>
    <w:lvl w:ilvl="3" w:tplc="1C090001" w:tentative="1">
      <w:start w:val="1"/>
      <w:numFmt w:val="bullet"/>
      <w:lvlText w:val=""/>
      <w:lvlJc w:val="left"/>
      <w:pPr>
        <w:ind w:left="2922" w:hanging="360"/>
      </w:pPr>
      <w:rPr>
        <w:rFonts w:ascii="Symbol" w:hAnsi="Symbol" w:hint="default"/>
      </w:rPr>
    </w:lvl>
    <w:lvl w:ilvl="4" w:tplc="1C090003" w:tentative="1">
      <w:start w:val="1"/>
      <w:numFmt w:val="bullet"/>
      <w:lvlText w:val="o"/>
      <w:lvlJc w:val="left"/>
      <w:pPr>
        <w:ind w:left="3642" w:hanging="360"/>
      </w:pPr>
      <w:rPr>
        <w:rFonts w:ascii="Courier New" w:hAnsi="Courier New" w:cs="Courier New" w:hint="default"/>
      </w:rPr>
    </w:lvl>
    <w:lvl w:ilvl="5" w:tplc="1C090005" w:tentative="1">
      <w:start w:val="1"/>
      <w:numFmt w:val="bullet"/>
      <w:lvlText w:val=""/>
      <w:lvlJc w:val="left"/>
      <w:pPr>
        <w:ind w:left="4362" w:hanging="360"/>
      </w:pPr>
      <w:rPr>
        <w:rFonts w:ascii="Wingdings" w:hAnsi="Wingdings" w:hint="default"/>
      </w:rPr>
    </w:lvl>
    <w:lvl w:ilvl="6" w:tplc="1C090001" w:tentative="1">
      <w:start w:val="1"/>
      <w:numFmt w:val="bullet"/>
      <w:lvlText w:val=""/>
      <w:lvlJc w:val="left"/>
      <w:pPr>
        <w:ind w:left="5082" w:hanging="360"/>
      </w:pPr>
      <w:rPr>
        <w:rFonts w:ascii="Symbol" w:hAnsi="Symbol" w:hint="default"/>
      </w:rPr>
    </w:lvl>
    <w:lvl w:ilvl="7" w:tplc="1C090003" w:tentative="1">
      <w:start w:val="1"/>
      <w:numFmt w:val="bullet"/>
      <w:lvlText w:val="o"/>
      <w:lvlJc w:val="left"/>
      <w:pPr>
        <w:ind w:left="5802" w:hanging="360"/>
      </w:pPr>
      <w:rPr>
        <w:rFonts w:ascii="Courier New" w:hAnsi="Courier New" w:cs="Courier New" w:hint="default"/>
      </w:rPr>
    </w:lvl>
    <w:lvl w:ilvl="8" w:tplc="1C090005" w:tentative="1">
      <w:start w:val="1"/>
      <w:numFmt w:val="bullet"/>
      <w:lvlText w:val=""/>
      <w:lvlJc w:val="left"/>
      <w:pPr>
        <w:ind w:left="6522" w:hanging="360"/>
      </w:pPr>
      <w:rPr>
        <w:rFonts w:ascii="Wingdings" w:hAnsi="Wingdings" w:hint="default"/>
      </w:rPr>
    </w:lvl>
  </w:abstractNum>
  <w:abstractNum w:abstractNumId="3" w15:restartNumberingAfterBreak="0">
    <w:nsid w:val="47607FC2"/>
    <w:multiLevelType w:val="hybridMultilevel"/>
    <w:tmpl w:val="8340D266"/>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58BF51D3"/>
    <w:multiLevelType w:val="hybridMultilevel"/>
    <w:tmpl w:val="A5F2A47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15E1CA4"/>
    <w:multiLevelType w:val="hybridMultilevel"/>
    <w:tmpl w:val="F184E5D6"/>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643E6C3C"/>
    <w:multiLevelType w:val="hybridMultilevel"/>
    <w:tmpl w:val="343EAC92"/>
    <w:lvl w:ilvl="0" w:tplc="1C090003">
      <w:start w:val="1"/>
      <w:numFmt w:val="bullet"/>
      <w:lvlText w:val="o"/>
      <w:lvlJc w:val="left"/>
      <w:pPr>
        <w:ind w:left="1120" w:hanging="360"/>
      </w:pPr>
      <w:rPr>
        <w:rFonts w:ascii="Courier New" w:hAnsi="Courier New" w:cs="Courier New" w:hint="default"/>
      </w:rPr>
    </w:lvl>
    <w:lvl w:ilvl="1" w:tplc="1C090003" w:tentative="1">
      <w:start w:val="1"/>
      <w:numFmt w:val="bullet"/>
      <w:lvlText w:val="o"/>
      <w:lvlJc w:val="left"/>
      <w:pPr>
        <w:ind w:left="1840" w:hanging="360"/>
      </w:pPr>
      <w:rPr>
        <w:rFonts w:ascii="Courier New" w:hAnsi="Courier New" w:cs="Courier New" w:hint="default"/>
      </w:rPr>
    </w:lvl>
    <w:lvl w:ilvl="2" w:tplc="1C090005" w:tentative="1">
      <w:start w:val="1"/>
      <w:numFmt w:val="bullet"/>
      <w:lvlText w:val=""/>
      <w:lvlJc w:val="left"/>
      <w:pPr>
        <w:ind w:left="2560" w:hanging="360"/>
      </w:pPr>
      <w:rPr>
        <w:rFonts w:ascii="Wingdings" w:hAnsi="Wingdings" w:hint="default"/>
      </w:rPr>
    </w:lvl>
    <w:lvl w:ilvl="3" w:tplc="1C090001" w:tentative="1">
      <w:start w:val="1"/>
      <w:numFmt w:val="bullet"/>
      <w:lvlText w:val=""/>
      <w:lvlJc w:val="left"/>
      <w:pPr>
        <w:ind w:left="3280" w:hanging="360"/>
      </w:pPr>
      <w:rPr>
        <w:rFonts w:ascii="Symbol" w:hAnsi="Symbol" w:hint="default"/>
      </w:rPr>
    </w:lvl>
    <w:lvl w:ilvl="4" w:tplc="1C090003" w:tentative="1">
      <w:start w:val="1"/>
      <w:numFmt w:val="bullet"/>
      <w:lvlText w:val="o"/>
      <w:lvlJc w:val="left"/>
      <w:pPr>
        <w:ind w:left="4000" w:hanging="360"/>
      </w:pPr>
      <w:rPr>
        <w:rFonts w:ascii="Courier New" w:hAnsi="Courier New" w:cs="Courier New" w:hint="default"/>
      </w:rPr>
    </w:lvl>
    <w:lvl w:ilvl="5" w:tplc="1C090005" w:tentative="1">
      <w:start w:val="1"/>
      <w:numFmt w:val="bullet"/>
      <w:lvlText w:val=""/>
      <w:lvlJc w:val="left"/>
      <w:pPr>
        <w:ind w:left="4720" w:hanging="360"/>
      </w:pPr>
      <w:rPr>
        <w:rFonts w:ascii="Wingdings" w:hAnsi="Wingdings" w:hint="default"/>
      </w:rPr>
    </w:lvl>
    <w:lvl w:ilvl="6" w:tplc="1C090001" w:tentative="1">
      <w:start w:val="1"/>
      <w:numFmt w:val="bullet"/>
      <w:lvlText w:val=""/>
      <w:lvlJc w:val="left"/>
      <w:pPr>
        <w:ind w:left="5440" w:hanging="360"/>
      </w:pPr>
      <w:rPr>
        <w:rFonts w:ascii="Symbol" w:hAnsi="Symbol" w:hint="default"/>
      </w:rPr>
    </w:lvl>
    <w:lvl w:ilvl="7" w:tplc="1C090003" w:tentative="1">
      <w:start w:val="1"/>
      <w:numFmt w:val="bullet"/>
      <w:lvlText w:val="o"/>
      <w:lvlJc w:val="left"/>
      <w:pPr>
        <w:ind w:left="6160" w:hanging="360"/>
      </w:pPr>
      <w:rPr>
        <w:rFonts w:ascii="Courier New" w:hAnsi="Courier New" w:cs="Courier New" w:hint="default"/>
      </w:rPr>
    </w:lvl>
    <w:lvl w:ilvl="8" w:tplc="1C090005" w:tentative="1">
      <w:start w:val="1"/>
      <w:numFmt w:val="bullet"/>
      <w:lvlText w:val=""/>
      <w:lvlJc w:val="left"/>
      <w:pPr>
        <w:ind w:left="6880" w:hanging="360"/>
      </w:pPr>
      <w:rPr>
        <w:rFonts w:ascii="Wingdings" w:hAnsi="Wingdings" w:hint="default"/>
      </w:rPr>
    </w:lvl>
  </w:abstractNum>
  <w:abstractNum w:abstractNumId="7" w15:restartNumberingAfterBreak="0">
    <w:nsid w:val="696401C1"/>
    <w:multiLevelType w:val="hybridMultilevel"/>
    <w:tmpl w:val="D3ACF49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456606787">
    <w:abstractNumId w:val="5"/>
  </w:num>
  <w:num w:numId="2" w16cid:durableId="1082066434">
    <w:abstractNumId w:val="2"/>
  </w:num>
  <w:num w:numId="3" w16cid:durableId="341443906">
    <w:abstractNumId w:val="4"/>
  </w:num>
  <w:num w:numId="4" w16cid:durableId="1557352939">
    <w:abstractNumId w:val="7"/>
  </w:num>
  <w:num w:numId="5" w16cid:durableId="2025982841">
    <w:abstractNumId w:val="3"/>
  </w:num>
  <w:num w:numId="6" w16cid:durableId="1587152321">
    <w:abstractNumId w:val="6"/>
  </w:num>
  <w:num w:numId="7" w16cid:durableId="1053504188">
    <w:abstractNumId w:val="0"/>
  </w:num>
  <w:num w:numId="8" w16cid:durableId="1621913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B7"/>
    <w:rsid w:val="00015BB7"/>
    <w:rsid w:val="000428CD"/>
    <w:rsid w:val="00061AB7"/>
    <w:rsid w:val="00073396"/>
    <w:rsid w:val="0014552D"/>
    <w:rsid w:val="001B1E4B"/>
    <w:rsid w:val="00231FE7"/>
    <w:rsid w:val="002333B2"/>
    <w:rsid w:val="00254270"/>
    <w:rsid w:val="00287F5A"/>
    <w:rsid w:val="00310701"/>
    <w:rsid w:val="0031400D"/>
    <w:rsid w:val="00430067"/>
    <w:rsid w:val="004479E8"/>
    <w:rsid w:val="00460EB7"/>
    <w:rsid w:val="00497A10"/>
    <w:rsid w:val="00502A41"/>
    <w:rsid w:val="00583804"/>
    <w:rsid w:val="005F5A5B"/>
    <w:rsid w:val="00626EC6"/>
    <w:rsid w:val="007266EF"/>
    <w:rsid w:val="00865B61"/>
    <w:rsid w:val="009B123F"/>
    <w:rsid w:val="00A33FEE"/>
    <w:rsid w:val="00B23E07"/>
    <w:rsid w:val="00B27568"/>
    <w:rsid w:val="00B4542F"/>
    <w:rsid w:val="00BC24CA"/>
    <w:rsid w:val="00CA0105"/>
    <w:rsid w:val="00CF7067"/>
    <w:rsid w:val="00D04568"/>
    <w:rsid w:val="00D41B1A"/>
    <w:rsid w:val="00DD783A"/>
    <w:rsid w:val="00E06CE8"/>
    <w:rsid w:val="00E15B8F"/>
    <w:rsid w:val="00EE4477"/>
    <w:rsid w:val="00F53A64"/>
    <w:rsid w:val="00FA7BA4"/>
    <w:rsid w:val="00FB2D83"/>
    <w:rsid w:val="00FD0369"/>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E210"/>
  <w15:chartTrackingRefBased/>
  <w15:docId w15:val="{81E3C235-316A-490B-8104-542CF6B9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B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B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B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B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B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B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B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B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B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B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B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B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B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B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B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B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B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BB7"/>
    <w:rPr>
      <w:rFonts w:eastAsiaTheme="majorEastAsia" w:cstheme="majorBidi"/>
      <w:color w:val="272727" w:themeColor="text1" w:themeTint="D8"/>
    </w:rPr>
  </w:style>
  <w:style w:type="paragraph" w:styleId="Title">
    <w:name w:val="Title"/>
    <w:basedOn w:val="Normal"/>
    <w:next w:val="Normal"/>
    <w:link w:val="TitleChar"/>
    <w:uiPriority w:val="10"/>
    <w:qFormat/>
    <w:rsid w:val="00015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B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B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B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BB7"/>
    <w:pPr>
      <w:spacing w:before="160"/>
      <w:jc w:val="center"/>
    </w:pPr>
    <w:rPr>
      <w:i/>
      <w:iCs/>
      <w:color w:val="404040" w:themeColor="text1" w:themeTint="BF"/>
    </w:rPr>
  </w:style>
  <w:style w:type="character" w:customStyle="1" w:styleId="QuoteChar">
    <w:name w:val="Quote Char"/>
    <w:basedOn w:val="DefaultParagraphFont"/>
    <w:link w:val="Quote"/>
    <w:uiPriority w:val="29"/>
    <w:rsid w:val="00015BB7"/>
    <w:rPr>
      <w:i/>
      <w:iCs/>
      <w:color w:val="404040" w:themeColor="text1" w:themeTint="BF"/>
    </w:rPr>
  </w:style>
  <w:style w:type="paragraph" w:styleId="ListParagraph">
    <w:name w:val="List Paragraph"/>
    <w:basedOn w:val="Normal"/>
    <w:uiPriority w:val="34"/>
    <w:qFormat/>
    <w:rsid w:val="00015BB7"/>
    <w:pPr>
      <w:ind w:left="720"/>
      <w:contextualSpacing/>
    </w:pPr>
  </w:style>
  <w:style w:type="character" w:styleId="IntenseEmphasis">
    <w:name w:val="Intense Emphasis"/>
    <w:basedOn w:val="DefaultParagraphFont"/>
    <w:uiPriority w:val="21"/>
    <w:qFormat/>
    <w:rsid w:val="00015BB7"/>
    <w:rPr>
      <w:i/>
      <w:iCs/>
      <w:color w:val="0F4761" w:themeColor="accent1" w:themeShade="BF"/>
    </w:rPr>
  </w:style>
  <w:style w:type="paragraph" w:styleId="IntenseQuote">
    <w:name w:val="Intense Quote"/>
    <w:basedOn w:val="Normal"/>
    <w:next w:val="Normal"/>
    <w:link w:val="IntenseQuoteChar"/>
    <w:uiPriority w:val="30"/>
    <w:qFormat/>
    <w:rsid w:val="00015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BB7"/>
    <w:rPr>
      <w:i/>
      <w:iCs/>
      <w:color w:val="0F4761" w:themeColor="accent1" w:themeShade="BF"/>
    </w:rPr>
  </w:style>
  <w:style w:type="character" w:styleId="IntenseReference">
    <w:name w:val="Intense Reference"/>
    <w:basedOn w:val="DefaultParagraphFont"/>
    <w:uiPriority w:val="32"/>
    <w:qFormat/>
    <w:rsid w:val="00015BB7"/>
    <w:rPr>
      <w:b/>
      <w:bCs/>
      <w:smallCaps/>
      <w:color w:val="0F4761" w:themeColor="accent1" w:themeShade="BF"/>
      <w:spacing w:val="5"/>
    </w:rPr>
  </w:style>
  <w:style w:type="paragraph" w:customStyle="1" w:styleId="Default">
    <w:name w:val="Default"/>
    <w:rsid w:val="00015BB7"/>
    <w:pPr>
      <w:autoSpaceDE w:val="0"/>
      <w:autoSpaceDN w:val="0"/>
      <w:adjustRightInd w:val="0"/>
      <w:spacing w:after="0" w:line="240" w:lineRule="auto"/>
    </w:pPr>
    <w:rPr>
      <w:rFonts w:ascii="Verdana" w:hAnsi="Verdana" w:cs="Verdana"/>
      <w:color w:val="000000"/>
      <w:kern w:val="0"/>
    </w:rPr>
  </w:style>
  <w:style w:type="table" w:styleId="TableGrid">
    <w:name w:val="Table Grid"/>
    <w:basedOn w:val="TableNormal"/>
    <w:uiPriority w:val="39"/>
    <w:rsid w:val="005F5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1646">
      <w:bodyDiv w:val="1"/>
      <w:marLeft w:val="0"/>
      <w:marRight w:val="0"/>
      <w:marTop w:val="0"/>
      <w:marBottom w:val="0"/>
      <w:divBdr>
        <w:top w:val="none" w:sz="0" w:space="0" w:color="auto"/>
        <w:left w:val="none" w:sz="0" w:space="0" w:color="auto"/>
        <w:bottom w:val="none" w:sz="0" w:space="0" w:color="auto"/>
        <w:right w:val="none" w:sz="0" w:space="0" w:color="auto"/>
      </w:divBdr>
      <w:divsChild>
        <w:div w:id="325788337">
          <w:marLeft w:val="0"/>
          <w:marRight w:val="0"/>
          <w:marTop w:val="0"/>
          <w:marBottom w:val="0"/>
          <w:divBdr>
            <w:top w:val="none" w:sz="0" w:space="0" w:color="auto"/>
            <w:left w:val="none" w:sz="0" w:space="0" w:color="auto"/>
            <w:bottom w:val="none" w:sz="0" w:space="0" w:color="auto"/>
            <w:right w:val="none" w:sz="0" w:space="0" w:color="auto"/>
          </w:divBdr>
        </w:div>
        <w:div w:id="28183580">
          <w:marLeft w:val="0"/>
          <w:marRight w:val="0"/>
          <w:marTop w:val="0"/>
          <w:marBottom w:val="0"/>
          <w:divBdr>
            <w:top w:val="none" w:sz="0" w:space="0" w:color="auto"/>
            <w:left w:val="none" w:sz="0" w:space="0" w:color="auto"/>
            <w:bottom w:val="none" w:sz="0" w:space="0" w:color="auto"/>
            <w:right w:val="none" w:sz="0" w:space="0" w:color="auto"/>
          </w:divBdr>
          <w:divsChild>
            <w:div w:id="20265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6840">
      <w:bodyDiv w:val="1"/>
      <w:marLeft w:val="0"/>
      <w:marRight w:val="0"/>
      <w:marTop w:val="0"/>
      <w:marBottom w:val="0"/>
      <w:divBdr>
        <w:top w:val="none" w:sz="0" w:space="0" w:color="auto"/>
        <w:left w:val="none" w:sz="0" w:space="0" w:color="auto"/>
        <w:bottom w:val="none" w:sz="0" w:space="0" w:color="auto"/>
        <w:right w:val="none" w:sz="0" w:space="0" w:color="auto"/>
      </w:divBdr>
      <w:divsChild>
        <w:div w:id="1574007978">
          <w:marLeft w:val="0"/>
          <w:marRight w:val="0"/>
          <w:marTop w:val="0"/>
          <w:marBottom w:val="0"/>
          <w:divBdr>
            <w:top w:val="none" w:sz="0" w:space="0" w:color="auto"/>
            <w:left w:val="none" w:sz="0" w:space="0" w:color="auto"/>
            <w:bottom w:val="none" w:sz="0" w:space="0" w:color="auto"/>
            <w:right w:val="none" w:sz="0" w:space="0" w:color="auto"/>
          </w:divBdr>
        </w:div>
        <w:div w:id="497549313">
          <w:marLeft w:val="0"/>
          <w:marRight w:val="0"/>
          <w:marTop w:val="0"/>
          <w:marBottom w:val="0"/>
          <w:divBdr>
            <w:top w:val="none" w:sz="0" w:space="0" w:color="auto"/>
            <w:left w:val="none" w:sz="0" w:space="0" w:color="auto"/>
            <w:bottom w:val="none" w:sz="0" w:space="0" w:color="auto"/>
            <w:right w:val="none" w:sz="0" w:space="0" w:color="auto"/>
          </w:divBdr>
          <w:divsChild>
            <w:div w:id="15689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28482">
      <w:bodyDiv w:val="1"/>
      <w:marLeft w:val="0"/>
      <w:marRight w:val="0"/>
      <w:marTop w:val="0"/>
      <w:marBottom w:val="0"/>
      <w:divBdr>
        <w:top w:val="none" w:sz="0" w:space="0" w:color="auto"/>
        <w:left w:val="none" w:sz="0" w:space="0" w:color="auto"/>
        <w:bottom w:val="none" w:sz="0" w:space="0" w:color="auto"/>
        <w:right w:val="none" w:sz="0" w:space="0" w:color="auto"/>
      </w:divBdr>
      <w:divsChild>
        <w:div w:id="108744492">
          <w:marLeft w:val="0"/>
          <w:marRight w:val="0"/>
          <w:marTop w:val="0"/>
          <w:marBottom w:val="0"/>
          <w:divBdr>
            <w:top w:val="none" w:sz="0" w:space="0" w:color="auto"/>
            <w:left w:val="none" w:sz="0" w:space="0" w:color="auto"/>
            <w:bottom w:val="none" w:sz="0" w:space="0" w:color="auto"/>
            <w:right w:val="none" w:sz="0" w:space="0" w:color="auto"/>
          </w:divBdr>
        </w:div>
        <w:div w:id="1597208913">
          <w:marLeft w:val="0"/>
          <w:marRight w:val="0"/>
          <w:marTop w:val="0"/>
          <w:marBottom w:val="0"/>
          <w:divBdr>
            <w:top w:val="none" w:sz="0" w:space="0" w:color="auto"/>
            <w:left w:val="none" w:sz="0" w:space="0" w:color="auto"/>
            <w:bottom w:val="none" w:sz="0" w:space="0" w:color="auto"/>
            <w:right w:val="none" w:sz="0" w:space="0" w:color="auto"/>
          </w:divBdr>
          <w:divsChild>
            <w:div w:id="3415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4218">
      <w:bodyDiv w:val="1"/>
      <w:marLeft w:val="0"/>
      <w:marRight w:val="0"/>
      <w:marTop w:val="0"/>
      <w:marBottom w:val="0"/>
      <w:divBdr>
        <w:top w:val="none" w:sz="0" w:space="0" w:color="auto"/>
        <w:left w:val="none" w:sz="0" w:space="0" w:color="auto"/>
        <w:bottom w:val="none" w:sz="0" w:space="0" w:color="auto"/>
        <w:right w:val="none" w:sz="0" w:space="0" w:color="auto"/>
      </w:divBdr>
      <w:divsChild>
        <w:div w:id="579099874">
          <w:marLeft w:val="0"/>
          <w:marRight w:val="0"/>
          <w:marTop w:val="0"/>
          <w:marBottom w:val="0"/>
          <w:divBdr>
            <w:top w:val="none" w:sz="0" w:space="0" w:color="auto"/>
            <w:left w:val="none" w:sz="0" w:space="0" w:color="auto"/>
            <w:bottom w:val="none" w:sz="0" w:space="0" w:color="auto"/>
            <w:right w:val="none" w:sz="0" w:space="0" w:color="auto"/>
          </w:divBdr>
        </w:div>
        <w:div w:id="127433412">
          <w:marLeft w:val="0"/>
          <w:marRight w:val="0"/>
          <w:marTop w:val="0"/>
          <w:marBottom w:val="0"/>
          <w:divBdr>
            <w:top w:val="none" w:sz="0" w:space="0" w:color="auto"/>
            <w:left w:val="none" w:sz="0" w:space="0" w:color="auto"/>
            <w:bottom w:val="none" w:sz="0" w:space="0" w:color="auto"/>
            <w:right w:val="none" w:sz="0" w:space="0" w:color="auto"/>
          </w:divBdr>
          <w:divsChild>
            <w:div w:id="3823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BC11F9-422F-43EA-8D39-7A37EB81DC32}"/>
</file>

<file path=customXml/itemProps2.xml><?xml version="1.0" encoding="utf-8"?>
<ds:datastoreItem xmlns:ds="http://schemas.openxmlformats.org/officeDocument/2006/customXml" ds:itemID="{02798FD7-ABCD-48DE-8506-9D8BE54E0596}"/>
</file>

<file path=customXml/itemProps3.xml><?xml version="1.0" encoding="utf-8"?>
<ds:datastoreItem xmlns:ds="http://schemas.openxmlformats.org/officeDocument/2006/customXml" ds:itemID="{164F1887-1D27-4433-BD99-772D43DE898B}"/>
</file>

<file path=docProps/app.xml><?xml version="1.0" encoding="utf-8"?>
<Properties xmlns="http://schemas.openxmlformats.org/officeDocument/2006/extended-properties" xmlns:vt="http://schemas.openxmlformats.org/officeDocument/2006/docPropsVTypes">
  <Template>Normal</Template>
  <TotalTime>4</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Transnet</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Mathonsi     Transnet Freight Rail   JHB</dc:creator>
  <cp:keywords/>
  <dc:description/>
  <cp:lastModifiedBy>Buyisiwe Hlatshwayo    Transnet Freight Rail   JHB</cp:lastModifiedBy>
  <cp:revision>3</cp:revision>
  <dcterms:created xsi:type="dcterms:W3CDTF">2025-03-13T07:56:00Z</dcterms:created>
  <dcterms:modified xsi:type="dcterms:W3CDTF">2025-03-13T08:01:00Z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cf86ee-526f-4536-9daf-d1ee8064d50e_Enabled">
    <vt:lpwstr>true</vt:lpwstr>
  </property>
  <property fmtid="{D5CDD505-2E9C-101B-9397-08002B2CF9AE}" pid="3" name="MSIP_Label_58cf86ee-526f-4536-9daf-d1ee8064d50e_SetDate">
    <vt:lpwstr>2025-02-26T13:43:44Z</vt:lpwstr>
  </property>
  <property fmtid="{D5CDD505-2E9C-101B-9397-08002B2CF9AE}" pid="4" name="MSIP_Label_58cf86ee-526f-4536-9daf-d1ee8064d50e_Method">
    <vt:lpwstr>Standard</vt:lpwstr>
  </property>
  <property fmtid="{D5CDD505-2E9C-101B-9397-08002B2CF9AE}" pid="5" name="MSIP_Label_58cf86ee-526f-4536-9daf-d1ee8064d50e_Name">
    <vt:lpwstr>Internal Only Information</vt:lpwstr>
  </property>
  <property fmtid="{D5CDD505-2E9C-101B-9397-08002B2CF9AE}" pid="6" name="MSIP_Label_58cf86ee-526f-4536-9daf-d1ee8064d50e_SiteId">
    <vt:lpwstr>a1a39996-f913-4016-a58a-361c60dec580</vt:lpwstr>
  </property>
  <property fmtid="{D5CDD505-2E9C-101B-9397-08002B2CF9AE}" pid="7" name="MSIP_Label_58cf86ee-526f-4536-9daf-d1ee8064d50e_ActionId">
    <vt:lpwstr>7d0f4049-abb2-4e70-a713-9552455e1596</vt:lpwstr>
  </property>
  <property fmtid="{D5CDD505-2E9C-101B-9397-08002B2CF9AE}" pid="8" name="MSIP_Label_58cf86ee-526f-4536-9daf-d1ee8064d50e_ContentBits">
    <vt:lpwstr>0</vt:lpwstr>
  </property>
</Properties>
</file>